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EB235" w14:textId="3A23023B" w:rsidR="00BB42B6" w:rsidRPr="007077F4" w:rsidRDefault="00D36DD4" w:rsidP="007077F4">
      <w:pPr>
        <w:pStyle w:val="NoSpacing"/>
        <w:jc w:val="center"/>
        <w:rPr>
          <w:rFonts w:ascii="Times New Roman" w:hAnsi="Times New Roman" w:cs="Times New Roman"/>
          <w:b/>
          <w:bCs/>
          <w:sz w:val="32"/>
          <w:szCs w:val="36"/>
          <w:lang w:val="en-US"/>
        </w:rPr>
      </w:pPr>
      <w:r>
        <w:rPr>
          <w:rFonts w:ascii="Times New Roman" w:hAnsi="Times New Roman" w:cs="Times New Roman"/>
          <w:b/>
          <w:bCs/>
          <w:noProof/>
          <w:sz w:val="32"/>
          <w:szCs w:val="36"/>
          <w:lang w:val="en-US"/>
        </w:rPr>
        <w:drawing>
          <wp:anchor distT="0" distB="0" distL="114300" distR="114300" simplePos="0" relativeHeight="251668480" behindDoc="0" locked="0" layoutInCell="1" allowOverlap="1" wp14:anchorId="1FB22424" wp14:editId="192F5DD1">
            <wp:simplePos x="0" y="0"/>
            <wp:positionH relativeFrom="column">
              <wp:posOffset>-237948</wp:posOffset>
            </wp:positionH>
            <wp:positionV relativeFrom="page">
              <wp:posOffset>727441</wp:posOffset>
            </wp:positionV>
            <wp:extent cx="751205" cy="647065"/>
            <wp:effectExtent l="0" t="0" r="0" b="635"/>
            <wp:wrapNone/>
            <wp:docPr id="20925997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99768" name="Picture 20925997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205" cy="647065"/>
                    </a:xfrm>
                    <a:prstGeom prst="rect">
                      <a:avLst/>
                    </a:prstGeom>
                  </pic:spPr>
                </pic:pic>
              </a:graphicData>
            </a:graphic>
            <wp14:sizeRelH relativeFrom="margin">
              <wp14:pctWidth>0</wp14:pctWidth>
            </wp14:sizeRelH>
            <wp14:sizeRelV relativeFrom="margin">
              <wp14:pctHeight>0</wp14:pctHeight>
            </wp14:sizeRelV>
          </wp:anchor>
        </w:drawing>
      </w:r>
      <w:r w:rsidR="007077F4" w:rsidRPr="007077F4">
        <w:rPr>
          <w:rFonts w:ascii="Times New Roman" w:hAnsi="Times New Roman" w:cs="Times New Roman"/>
          <w:noProof/>
          <w:lang w:val="en-US"/>
        </w:rPr>
        <mc:AlternateContent>
          <mc:Choice Requires="wps">
            <w:drawing>
              <wp:anchor distT="45720" distB="45720" distL="114300" distR="114300" simplePos="0" relativeHeight="251661312" behindDoc="1" locked="0" layoutInCell="1" allowOverlap="1" wp14:anchorId="67E68C21" wp14:editId="6C196833">
                <wp:simplePos x="0" y="0"/>
                <wp:positionH relativeFrom="column">
                  <wp:posOffset>4561014</wp:posOffset>
                </wp:positionH>
                <wp:positionV relativeFrom="page">
                  <wp:posOffset>274603</wp:posOffset>
                </wp:positionV>
                <wp:extent cx="2320290" cy="311785"/>
                <wp:effectExtent l="0" t="0" r="0" b="0"/>
                <wp:wrapTight wrapText="bothSides">
                  <wp:wrapPolygon edited="0">
                    <wp:start x="532" y="0"/>
                    <wp:lineTo x="532" y="19796"/>
                    <wp:lineTo x="20926" y="19796"/>
                    <wp:lineTo x="20926" y="0"/>
                    <wp:lineTo x="532"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311785"/>
                        </a:xfrm>
                        <a:prstGeom prst="rect">
                          <a:avLst/>
                        </a:prstGeom>
                        <a:noFill/>
                        <a:ln w="9525">
                          <a:noFill/>
                          <a:miter lim="800000"/>
                          <a:headEnd/>
                          <a:tailEnd/>
                        </a:ln>
                      </wps:spPr>
                      <wps:txbx>
                        <w:txbxContent>
                          <w:p w14:paraId="3F5D07F9" w14:textId="622598BC" w:rsidR="007077F4" w:rsidRPr="007077F4" w:rsidRDefault="007077F4">
                            <w:pPr>
                              <w:rPr>
                                <w:rFonts w:ascii="Bell MT" w:hAnsi="Bell MT" w:cs="Times New Roman"/>
                                <w:b/>
                                <w:bCs/>
                                <w:szCs w:val="28"/>
                                <w:lang w:val="en-US"/>
                              </w:rPr>
                            </w:pPr>
                            <w:r w:rsidRPr="007077F4">
                              <w:rPr>
                                <w:rFonts w:ascii="Bell MT" w:hAnsi="Bell MT" w:cs="Times New Roman"/>
                                <w:b/>
                                <w:bCs/>
                                <w:szCs w:val="28"/>
                                <w:lang w:val="en-US"/>
                              </w:rPr>
                              <w:t xml:space="preserve">ISSN: </w:t>
                            </w:r>
                            <w:r w:rsidRPr="007077F4">
                              <w:rPr>
                                <w:rFonts w:ascii="Bell MT" w:hAnsi="Bell MT" w:cs="Times New Roman"/>
                                <w:b/>
                                <w:bCs/>
                                <w:szCs w:val="28"/>
                              </w:rPr>
                              <w:t>3107-619X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E68C21" id="_x0000_t202" coordsize="21600,21600" o:spt="202" path="m,l,21600r21600,l21600,xe">
                <v:stroke joinstyle="miter"/>
                <v:path gradientshapeok="t" o:connecttype="rect"/>
              </v:shapetype>
              <v:shape id="Text Box 2" o:spid="_x0000_s1026" type="#_x0000_t202" style="position:absolute;left:0;text-align:left;margin-left:359.15pt;margin-top:21.6pt;width:182.7pt;height:24.5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" filled="f" stroked="f">
                <v:textbox>
                  <w:txbxContent>
                    <w:p w14:paraId="3F5D07F9" w14:textId="622598BC" w:rsidR="007077F4" w:rsidRPr="007077F4" w:rsidRDefault="007077F4">
                      <w:pPr>
                        <w:rPr>
                          <w:rFonts w:ascii="Bell MT" w:hAnsi="Bell MT" w:cs="Times New Roman"/>
                          <w:b/>
                          <w:bCs/>
                          <w:szCs w:val="28"/>
                          <w:lang w:val="en-US"/>
                        </w:rPr>
                      </w:pPr>
                      <w:r w:rsidRPr="007077F4">
                        <w:rPr>
                          <w:rFonts w:ascii="Bell MT" w:hAnsi="Bell MT" w:cs="Times New Roman"/>
                          <w:b/>
                          <w:bCs/>
                          <w:szCs w:val="28"/>
                          <w:lang w:val="en-US"/>
                        </w:rPr>
                        <w:t xml:space="preserve">ISSN: </w:t>
                      </w:r>
                      <w:r w:rsidRPr="007077F4">
                        <w:rPr>
                          <w:rFonts w:ascii="Bell MT" w:hAnsi="Bell MT" w:cs="Times New Roman"/>
                          <w:b/>
                          <w:bCs/>
                          <w:szCs w:val="28"/>
                        </w:rPr>
                        <w:t>3107-619X (Online)</w:t>
                      </w:r>
                    </w:p>
                  </w:txbxContent>
                </v:textbox>
                <w10:wrap type="tight" anchory="page"/>
              </v:shape>
            </w:pict>
          </mc:Fallback>
        </mc:AlternateContent>
      </w:r>
      <w:r w:rsidR="007077F4" w:rsidRPr="007077F4">
        <w:rPr>
          <w:rFonts w:ascii="Times New Roman" w:hAnsi="Times New Roman" w:cs="Times New Roman"/>
          <w:b/>
          <w:bCs/>
          <w:noProof/>
          <w:sz w:val="32"/>
          <w:szCs w:val="36"/>
          <w:lang w:val="en-US"/>
        </w:rPr>
        <w:drawing>
          <wp:anchor distT="0" distB="0" distL="114300" distR="114300" simplePos="0" relativeHeight="251659264" behindDoc="1" locked="0" layoutInCell="1" allowOverlap="1" wp14:anchorId="5E32105C" wp14:editId="4E39C1DC">
            <wp:simplePos x="0" y="0"/>
            <wp:positionH relativeFrom="column">
              <wp:posOffset>5227243</wp:posOffset>
            </wp:positionH>
            <wp:positionV relativeFrom="paragraph">
              <wp:posOffset>-387248</wp:posOffset>
            </wp:positionV>
            <wp:extent cx="884404" cy="884404"/>
            <wp:effectExtent l="0" t="0" r="0" b="0"/>
            <wp:wrapNone/>
            <wp:docPr id="1721303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03876" name="Picture 1721303876"/>
                    <pic:cNvPicPr/>
                  </pic:nvPicPr>
                  <pic:blipFill>
                    <a:blip r:embed="rId9"/>
                    <a:stretch>
                      <a:fillRect/>
                    </a:stretch>
                  </pic:blipFill>
                  <pic:spPr>
                    <a:xfrm>
                      <a:off x="0" y="0"/>
                      <a:ext cx="884404" cy="884404"/>
                    </a:xfrm>
                    <a:prstGeom prst="flowChartConnector">
                      <a:avLst/>
                    </a:prstGeom>
                  </pic:spPr>
                </pic:pic>
              </a:graphicData>
            </a:graphic>
            <wp14:sizeRelH relativeFrom="page">
              <wp14:pctWidth>0</wp14:pctWidth>
            </wp14:sizeRelH>
            <wp14:sizeRelV relativeFrom="page">
              <wp14:pctHeight>0</wp14:pctHeight>
            </wp14:sizeRelV>
          </wp:anchor>
        </w:drawing>
      </w:r>
      <w:r w:rsidR="00B51D5A" w:rsidRPr="007077F4">
        <w:rPr>
          <w:rFonts w:ascii="Times New Roman" w:hAnsi="Times New Roman" w:cs="Times New Roman"/>
          <w:b/>
          <w:bCs/>
          <w:sz w:val="32"/>
          <w:szCs w:val="36"/>
          <w:lang w:val="en-US"/>
        </w:rPr>
        <w:t>NBPA Journal for Arts, Humanities &amp; Social Sciences</w:t>
      </w:r>
    </w:p>
    <w:p w14:paraId="70292B11" w14:textId="5D5E2398" w:rsidR="007077F4" w:rsidRDefault="007077F4" w:rsidP="007077F4">
      <w:pPr>
        <w:pStyle w:val="NoSpacing"/>
        <w:jc w:val="center"/>
        <w:rPr>
          <w:rFonts w:ascii="Times New Roman" w:hAnsi="Times New Roman" w:cs="Times New Roman"/>
          <w:szCs w:val="28"/>
          <w:lang w:val="en-US"/>
        </w:rPr>
      </w:pPr>
      <w:r w:rsidRPr="007077F4">
        <w:rPr>
          <w:rFonts w:ascii="Times New Roman" w:hAnsi="Times New Roman" w:cs="Times New Roman"/>
          <w:szCs w:val="28"/>
          <w:lang w:val="en-US"/>
        </w:rPr>
        <w:t xml:space="preserve">A </w:t>
      </w:r>
      <w:r w:rsidR="00AD0CAB">
        <w:rPr>
          <w:rFonts w:ascii="Times New Roman" w:hAnsi="Times New Roman" w:cs="Times New Roman"/>
          <w:szCs w:val="28"/>
          <w:lang w:val="en-US"/>
        </w:rPr>
        <w:t>P</w:t>
      </w:r>
      <w:r w:rsidRPr="007077F4">
        <w:rPr>
          <w:rFonts w:ascii="Times New Roman" w:hAnsi="Times New Roman" w:cs="Times New Roman"/>
          <w:szCs w:val="28"/>
          <w:lang w:val="en-US"/>
        </w:rPr>
        <w:t xml:space="preserve">eer-reviewed </w:t>
      </w:r>
      <w:r w:rsidR="00205251">
        <w:rPr>
          <w:rFonts w:ascii="Times New Roman" w:hAnsi="Times New Roman" w:cs="Times New Roman"/>
          <w:szCs w:val="28"/>
          <w:lang w:val="en-US"/>
        </w:rPr>
        <w:t>M</w:t>
      </w:r>
      <w:r w:rsidRPr="007077F4">
        <w:rPr>
          <w:rFonts w:ascii="Times New Roman" w:hAnsi="Times New Roman" w:cs="Times New Roman"/>
          <w:szCs w:val="28"/>
          <w:lang w:val="en-US"/>
        </w:rPr>
        <w:t xml:space="preserve">ultidisciplinary </w:t>
      </w:r>
      <w:r w:rsidR="00205251">
        <w:rPr>
          <w:rFonts w:ascii="Times New Roman" w:hAnsi="Times New Roman" w:cs="Times New Roman"/>
          <w:szCs w:val="28"/>
          <w:lang w:val="en-US"/>
        </w:rPr>
        <w:t>Q</w:t>
      </w:r>
      <w:r w:rsidRPr="007077F4">
        <w:rPr>
          <w:rFonts w:ascii="Times New Roman" w:hAnsi="Times New Roman" w:cs="Times New Roman"/>
          <w:szCs w:val="28"/>
          <w:lang w:val="en-US"/>
        </w:rPr>
        <w:t xml:space="preserve">uarterly </w:t>
      </w:r>
      <w:r w:rsidR="00205251">
        <w:rPr>
          <w:rFonts w:ascii="Times New Roman" w:hAnsi="Times New Roman" w:cs="Times New Roman"/>
          <w:szCs w:val="28"/>
          <w:lang w:val="en-US"/>
        </w:rPr>
        <w:t>J</w:t>
      </w:r>
      <w:r w:rsidRPr="007077F4">
        <w:rPr>
          <w:rFonts w:ascii="Times New Roman" w:hAnsi="Times New Roman" w:cs="Times New Roman"/>
          <w:szCs w:val="28"/>
          <w:lang w:val="en-US"/>
        </w:rPr>
        <w:t>ournal</w:t>
      </w:r>
    </w:p>
    <w:p w14:paraId="05A374D5" w14:textId="58615AA7" w:rsidR="00EF14CE" w:rsidRPr="007A287D" w:rsidRDefault="00EF14CE" w:rsidP="00EF14CE">
      <w:pPr>
        <w:pStyle w:val="NoSpacing"/>
        <w:rPr>
          <w:rFonts w:ascii="Times New Roman" w:hAnsi="Times New Roman" w:cs="Times New Roman"/>
          <w:szCs w:val="28"/>
          <w:lang w:val="en-US"/>
        </w:rPr>
        <w:sectPr w:rsidR="00EF14CE" w:rsidRPr="007A287D" w:rsidSect="00FF7DC0">
          <w:footerReference w:type="default" r:id="rId10"/>
          <w:pgSz w:w="11906" w:h="16838"/>
          <w:pgMar w:top="1440" w:right="1440" w:bottom="1440" w:left="1440" w:header="510" w:footer="283" w:gutter="0"/>
          <w:cols w:space="708"/>
          <w:docGrid w:linePitch="360"/>
        </w:sectPr>
      </w:pPr>
    </w:p>
    <w:p w14:paraId="412DC6F7" w14:textId="29DFAB3C" w:rsidR="00D36DD4" w:rsidRDefault="00EF14CE" w:rsidP="00D36DD4">
      <w:pPr>
        <w:pStyle w:val="NoSpacing"/>
        <w:rPr>
          <w:rFonts w:ascii="Times New Roman" w:hAnsi="Times New Roman" w:cs="Times New Roman"/>
          <w:b/>
          <w:bCs/>
          <w:lang w:val="en-US"/>
        </w:rPr>
      </w:pPr>
      <w:r>
        <w:rPr>
          <w:rFonts w:ascii="Times New Roman" w:hAnsi="Times New Roman" w:cs="Times New Roman"/>
          <w:noProof/>
          <w:lang w:val="en-US"/>
        </w:rPr>
        <mc:AlternateContent>
          <mc:Choice Requires="wps">
            <w:drawing>
              <wp:anchor distT="0" distB="0" distL="114300" distR="114300" simplePos="0" relativeHeight="251670528" behindDoc="0" locked="0" layoutInCell="1" allowOverlap="1" wp14:anchorId="6AC5CC71" wp14:editId="64D14711">
                <wp:simplePos x="0" y="0"/>
                <wp:positionH relativeFrom="column">
                  <wp:posOffset>-943610</wp:posOffset>
                </wp:positionH>
                <wp:positionV relativeFrom="paragraph">
                  <wp:posOffset>156210</wp:posOffset>
                </wp:positionV>
                <wp:extent cx="7679565" cy="0"/>
                <wp:effectExtent l="0" t="19050" r="36195" b="19050"/>
                <wp:wrapNone/>
                <wp:docPr id="152266292" name="Straight Connector 4"/>
                <wp:cNvGraphicFramePr/>
                <a:graphic xmlns:a="http://schemas.openxmlformats.org/drawingml/2006/main">
                  <a:graphicData uri="http://schemas.microsoft.com/office/word/2010/wordprocessingShape">
                    <wps:wsp>
                      <wps:cNvCnPr/>
                      <wps:spPr>
                        <a:xfrm flipV="1">
                          <a:off x="0" y="0"/>
                          <a:ext cx="7679565" cy="0"/>
                        </a:xfrm>
                        <a:prstGeom prst="line">
                          <a:avLst/>
                        </a:prstGeom>
                        <a:ln w="28575">
                          <a:solidFill>
                            <a:schemeClr val="tx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A6CB0" id="Straight Connector 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3pt,12.3pt" to="530.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" strokecolor="black [3213]" strokeweight="2.25pt">
                <v:stroke joinstyle="miter"/>
              </v:line>
            </w:pict>
          </mc:Fallback>
        </mc:AlternateContent>
      </w:r>
    </w:p>
    <w:p w14:paraId="42BD650A" w14:textId="7D556546" w:rsidR="0052565F" w:rsidRPr="00F871C1" w:rsidRDefault="001E5ED7" w:rsidP="005D5005">
      <w:pPr>
        <w:pStyle w:val="NormalWeb"/>
        <w:spacing w:line="360" w:lineRule="auto"/>
        <w:jc w:val="center"/>
        <w:rPr>
          <w:b/>
          <w:bCs/>
          <w:sz w:val="28"/>
          <w:szCs w:val="28"/>
        </w:rPr>
      </w:pPr>
      <w:r w:rsidRPr="00F871C1">
        <w:rPr>
          <w:b/>
          <w:bCs/>
          <w:noProof/>
          <w:sz w:val="22"/>
          <w:szCs w:val="28"/>
        </w:rPr>
        <mc:AlternateContent>
          <mc:Choice Requires="wps">
            <w:drawing>
              <wp:anchor distT="0" distB="0" distL="114300" distR="114300" simplePos="0" relativeHeight="251672576" behindDoc="0" locked="0" layoutInCell="1" allowOverlap="1" wp14:anchorId="424FAC34" wp14:editId="0AEA01CA">
                <wp:simplePos x="0" y="0"/>
                <wp:positionH relativeFrom="column">
                  <wp:posOffset>-304580</wp:posOffset>
                </wp:positionH>
                <wp:positionV relativeFrom="paragraph">
                  <wp:posOffset>419182</wp:posOffset>
                </wp:positionV>
                <wp:extent cx="6498908" cy="0"/>
                <wp:effectExtent l="0" t="19050" r="35560" b="19050"/>
                <wp:wrapNone/>
                <wp:docPr id="219402482" name="Straight Connector 4"/>
                <wp:cNvGraphicFramePr/>
                <a:graphic xmlns:a="http://schemas.openxmlformats.org/drawingml/2006/main">
                  <a:graphicData uri="http://schemas.microsoft.com/office/word/2010/wordprocessingShape">
                    <wps:wsp>
                      <wps:cNvCnPr/>
                      <wps:spPr>
                        <a:xfrm>
                          <a:off x="0" y="0"/>
                          <a:ext cx="6498908" cy="0"/>
                        </a:xfrm>
                        <a:prstGeom prst="line">
                          <a:avLst/>
                        </a:prstGeom>
                        <a:ln w="28575">
                          <a:solidFill>
                            <a:schemeClr val="tx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11A40" id="Straight Connector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33pt" to="487.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" strokecolor="black [3213]" strokeweight="2.25pt">
                <v:stroke joinstyle="miter"/>
              </v:line>
            </w:pict>
          </mc:Fallback>
        </mc:AlternateContent>
      </w:r>
      <w:r w:rsidR="005D5005" w:rsidRPr="00F871C1">
        <w:rPr>
          <w:b/>
          <w:bCs/>
          <w:sz w:val="28"/>
          <w:szCs w:val="28"/>
        </w:rPr>
        <w:t>From Knowledge to Emancipation: Vision of Nyāya Philosophy</w:t>
      </w:r>
    </w:p>
    <w:p w14:paraId="7C75B73D" w14:textId="36FE856E" w:rsidR="00AB4E34" w:rsidRPr="00F871C1" w:rsidRDefault="005D5005" w:rsidP="00AB4E34">
      <w:pPr>
        <w:spacing w:after="120" w:line="240" w:lineRule="auto"/>
        <w:jc w:val="center"/>
        <w:rPr>
          <w:rFonts w:ascii="Times New Roman" w:hAnsi="Times New Roman" w:cs="Times New Roman"/>
          <w:b/>
          <w:bCs/>
          <w:szCs w:val="24"/>
        </w:rPr>
      </w:pPr>
      <w:r w:rsidRPr="00F871C1">
        <w:rPr>
          <w:rFonts w:ascii="Times New Roman" w:hAnsi="Times New Roman" w:cs="Times New Roman"/>
          <w:b/>
          <w:bCs/>
          <w:szCs w:val="24"/>
        </w:rPr>
        <w:t>Manoranjan Prasad Sing</w:t>
      </w:r>
    </w:p>
    <w:p w14:paraId="1AB9DAE5" w14:textId="77777777" w:rsidR="0042551B" w:rsidRDefault="0042551B" w:rsidP="0042551B">
      <w:pPr>
        <w:spacing w:after="0" w:line="360" w:lineRule="auto"/>
        <w:ind w:firstLine="720"/>
        <w:jc w:val="center"/>
        <w:rPr>
          <w:rFonts w:ascii="Times New Roman" w:hAnsi="Times New Roman" w:cs="Times New Roman"/>
          <w:szCs w:val="24"/>
        </w:rPr>
      </w:pPr>
      <w:r w:rsidRPr="00843480">
        <w:rPr>
          <w:rFonts w:ascii="Times New Roman" w:hAnsi="Times New Roman" w:cs="Times New Roman"/>
          <w:szCs w:val="24"/>
        </w:rPr>
        <w:t>Assistant Professor</w:t>
      </w:r>
    </w:p>
    <w:p w14:paraId="4EF5E12E" w14:textId="7A1B511A" w:rsidR="0042551B" w:rsidRDefault="005D5005" w:rsidP="005D5005">
      <w:pPr>
        <w:spacing w:after="0" w:line="360" w:lineRule="auto"/>
        <w:ind w:firstLine="720"/>
        <w:jc w:val="center"/>
        <w:rPr>
          <w:rFonts w:ascii="Times New Roman" w:hAnsi="Times New Roman" w:cs="Times New Roman"/>
          <w:szCs w:val="24"/>
        </w:rPr>
      </w:pPr>
      <w:r w:rsidRPr="005D5005">
        <w:rPr>
          <w:rFonts w:ascii="Times New Roman" w:hAnsi="Times New Roman" w:cs="Times New Roman"/>
          <w:szCs w:val="24"/>
        </w:rPr>
        <w:t>Department of Philosophy</w:t>
      </w:r>
      <w:r>
        <w:rPr>
          <w:rFonts w:ascii="Times New Roman" w:hAnsi="Times New Roman" w:cs="Times New Roman"/>
          <w:szCs w:val="24"/>
        </w:rPr>
        <w:t xml:space="preserve">, </w:t>
      </w:r>
      <w:r w:rsidRPr="005D5005">
        <w:rPr>
          <w:rFonts w:ascii="Times New Roman" w:hAnsi="Times New Roman" w:cs="Times New Roman"/>
          <w:szCs w:val="24"/>
        </w:rPr>
        <w:t>Presidency University</w:t>
      </w:r>
      <w:r>
        <w:rPr>
          <w:rFonts w:ascii="Times New Roman" w:hAnsi="Times New Roman" w:cs="Times New Roman"/>
          <w:szCs w:val="24"/>
        </w:rPr>
        <w:t>, Kolkata</w:t>
      </w:r>
    </w:p>
    <w:p w14:paraId="0981C1A8" w14:textId="025C5AFF" w:rsidR="007A287D" w:rsidRDefault="00C74DE0" w:rsidP="0042551B">
      <w:pPr>
        <w:pStyle w:val="NoSpacing"/>
        <w:rPr>
          <w:rFonts w:ascii="Times New Roman" w:hAnsi="Times New Roman" w:cs="Times New Roman"/>
          <w:lang w:val="en-US"/>
        </w:rPr>
      </w:pPr>
      <w:r w:rsidRPr="007A287D">
        <w:rPr>
          <w:noProof/>
        </w:rPr>
        <mc:AlternateContent>
          <mc:Choice Requires="wps">
            <w:drawing>
              <wp:anchor distT="45720" distB="45720" distL="114300" distR="114300" simplePos="0" relativeHeight="251664384" behindDoc="0" locked="0" layoutInCell="1" allowOverlap="1" wp14:anchorId="1F05B74A" wp14:editId="20A3FFC3">
                <wp:simplePos x="0" y="0"/>
                <wp:positionH relativeFrom="column">
                  <wp:posOffset>-238125</wp:posOffset>
                </wp:positionH>
                <wp:positionV relativeFrom="paragraph">
                  <wp:posOffset>134620</wp:posOffset>
                </wp:positionV>
                <wp:extent cx="3252470" cy="4433570"/>
                <wp:effectExtent l="0" t="0" r="5080" b="5080"/>
                <wp:wrapSquare wrapText="bothSides"/>
                <wp:docPr id="1193910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4433570"/>
                        </a:xfrm>
                        <a:prstGeom prst="rect">
                          <a:avLst/>
                        </a:prstGeom>
                        <a:solidFill>
                          <a:schemeClr val="bg1">
                            <a:lumMod val="85000"/>
                          </a:schemeClr>
                        </a:solidFill>
                        <a:ln w="9525">
                          <a:noFill/>
                          <a:miter lim="800000"/>
                          <a:headEnd/>
                          <a:tailEnd/>
                        </a:ln>
                      </wps:spPr>
                      <wps:txbx>
                        <w:txbxContent>
                          <w:p w14:paraId="49FE9CD7" w14:textId="25297FDA" w:rsidR="007A287D" w:rsidRPr="00E2170E" w:rsidRDefault="007A287D" w:rsidP="00D42B42">
                            <w:pPr>
                              <w:rPr>
                                <w:rFonts w:ascii="Times New Roman" w:hAnsi="Times New Roman" w:cs="Times New Roman"/>
                                <w:b/>
                                <w:bCs/>
                                <w:sz w:val="20"/>
                                <w:szCs w:val="20"/>
                                <w:lang w:val="en-US"/>
                              </w:rPr>
                            </w:pPr>
                            <w:r w:rsidRPr="00E2170E">
                              <w:rPr>
                                <w:rFonts w:ascii="Times New Roman" w:hAnsi="Times New Roman" w:cs="Times New Roman"/>
                                <w:b/>
                                <w:bCs/>
                                <w:sz w:val="20"/>
                                <w:szCs w:val="20"/>
                                <w:lang w:val="en-US"/>
                              </w:rPr>
                              <w:t>Abstract</w:t>
                            </w:r>
                          </w:p>
                          <w:p w14:paraId="6DED02FD" w14:textId="70C00383" w:rsidR="001E5ED7" w:rsidRPr="00C74DE0" w:rsidRDefault="00C74DE0" w:rsidP="00C74DE0">
                            <w:pPr>
                              <w:spacing w:before="100" w:beforeAutospacing="1" w:after="100" w:afterAutospacing="1" w:line="360" w:lineRule="auto"/>
                              <w:jc w:val="both"/>
                              <w:rPr>
                                <w:rFonts w:ascii="Times New Roman" w:eastAsia="Times New Roman" w:hAnsi="Times New Roman"/>
                                <w:sz w:val="22"/>
                                <w:szCs w:val="22"/>
                              </w:rPr>
                            </w:pPr>
                            <w:r w:rsidRPr="00C74DE0">
                              <w:rPr>
                                <w:rFonts w:ascii="Times New Roman" w:eastAsia="Times New Roman" w:hAnsi="Times New Roman" w:cs="Times New Roman"/>
                                <w:sz w:val="22"/>
                                <w:szCs w:val="22"/>
                                <w:lang w:eastAsia="en-IN"/>
                              </w:rPr>
                              <w:t xml:space="preserve">This paper delves into the core of Nyāya philosophy </w:t>
                            </w:r>
                            <w:bookmarkStart w:id="0" w:name="_Hlk209646649"/>
                            <w:r w:rsidRPr="00C74DE0">
                              <w:rPr>
                                <w:rFonts w:ascii="Times New Roman" w:eastAsia="Times New Roman" w:hAnsi="Times New Roman" w:cs="Times New Roman"/>
                                <w:sz w:val="22"/>
                                <w:szCs w:val="22"/>
                                <w:lang w:eastAsia="en-IN"/>
                              </w:rPr>
                              <w:t>by exploring the sixteen categories (</w:t>
                            </w:r>
                            <w:r w:rsidRPr="00C74DE0">
                              <w:rPr>
                                <w:rFonts w:ascii="Times New Roman" w:eastAsia="Times New Roman" w:hAnsi="Times New Roman" w:cs="Times New Roman"/>
                                <w:i/>
                                <w:iCs/>
                                <w:sz w:val="22"/>
                                <w:szCs w:val="22"/>
                                <w:lang w:eastAsia="en-IN"/>
                              </w:rPr>
                              <w:t>ṣoḍaśa-padārthas</w:t>
                            </w:r>
                            <w:r w:rsidRPr="00C74DE0">
                              <w:rPr>
                                <w:rFonts w:ascii="Times New Roman" w:eastAsia="Times New Roman" w:hAnsi="Times New Roman" w:cs="Times New Roman"/>
                                <w:sz w:val="22"/>
                                <w:szCs w:val="22"/>
                                <w:lang w:eastAsia="en-IN"/>
                              </w:rPr>
                              <w:t xml:space="preserve">) outlined in Gautama’s </w:t>
                            </w:r>
                            <w:r w:rsidRPr="00C74DE0">
                              <w:rPr>
                                <w:rFonts w:ascii="Times New Roman" w:eastAsia="Times New Roman" w:hAnsi="Times New Roman" w:cs="Times New Roman"/>
                                <w:i/>
                                <w:iCs/>
                                <w:sz w:val="22"/>
                                <w:szCs w:val="22"/>
                                <w:lang w:eastAsia="en-IN"/>
                              </w:rPr>
                              <w:t>Nyāya-sūtra</w:t>
                            </w:r>
                            <w:r w:rsidRPr="00C74DE0">
                              <w:rPr>
                                <w:rFonts w:ascii="Times New Roman" w:eastAsia="Times New Roman" w:hAnsi="Times New Roman" w:cs="Times New Roman"/>
                                <w:sz w:val="22"/>
                                <w:szCs w:val="22"/>
                                <w:lang w:eastAsia="en-IN"/>
                              </w:rPr>
                              <w:t xml:space="preserve"> </w:t>
                            </w:r>
                            <w:bookmarkEnd w:id="0"/>
                            <w:r w:rsidRPr="00C74DE0">
                              <w:rPr>
                                <w:rFonts w:ascii="Times New Roman" w:eastAsia="Times New Roman" w:hAnsi="Times New Roman" w:cs="Times New Roman"/>
                                <w:sz w:val="22"/>
                                <w:szCs w:val="22"/>
                                <w:lang w:eastAsia="en-IN"/>
                              </w:rPr>
                              <w:t>and their pivotal role in achieving liberation (</w:t>
                            </w:r>
                            <w:r w:rsidRPr="00C74DE0">
                              <w:rPr>
                                <w:rFonts w:ascii="Times New Roman" w:eastAsia="Times New Roman" w:hAnsi="Times New Roman" w:cs="Times New Roman"/>
                                <w:i/>
                                <w:iCs/>
                                <w:sz w:val="22"/>
                                <w:szCs w:val="22"/>
                                <w:lang w:eastAsia="en-IN"/>
                              </w:rPr>
                              <w:t>niḥśreyasa</w:t>
                            </w:r>
                            <w:r w:rsidRPr="00C74DE0">
                              <w:rPr>
                                <w:rFonts w:ascii="Times New Roman" w:eastAsia="Times New Roman" w:hAnsi="Times New Roman" w:cs="Times New Roman"/>
                                <w:sz w:val="22"/>
                                <w:szCs w:val="22"/>
                                <w:lang w:eastAsia="en-IN"/>
                              </w:rPr>
                              <w:t>). While it provides the fundamentals of the ultimate goal, liberation (</w:t>
                            </w:r>
                            <w:r w:rsidRPr="00C74DE0">
                              <w:rPr>
                                <w:rFonts w:ascii="Times New Roman" w:eastAsia="Times New Roman" w:hAnsi="Times New Roman" w:cs="Times New Roman"/>
                                <w:i/>
                                <w:iCs/>
                                <w:sz w:val="22"/>
                                <w:szCs w:val="22"/>
                                <w:lang w:eastAsia="en-IN"/>
                              </w:rPr>
                              <w:t>niḥśreyasa</w:t>
                            </w:r>
                            <w:r w:rsidRPr="00C74DE0">
                              <w:rPr>
                                <w:rFonts w:ascii="Times New Roman" w:eastAsia="Times New Roman" w:hAnsi="Times New Roman" w:cs="Times New Roman"/>
                                <w:sz w:val="22"/>
                                <w:szCs w:val="22"/>
                                <w:lang w:eastAsia="en-IN"/>
                              </w:rPr>
                              <w:t xml:space="preserve">), it would also provide the foundation for why Nyāya philosophy is not merely a spiritual philosophy but has a longstanding logical set-up for acquiring knowledge. Hence, the paper provides the philosophical and epistemological analysis underpinning the connection of the categories in the </w:t>
                            </w:r>
                            <w:r w:rsidRPr="00C74DE0">
                              <w:rPr>
                                <w:rFonts w:ascii="Times New Roman" w:eastAsia="Times New Roman" w:hAnsi="Times New Roman" w:cs="Times New Roman"/>
                                <w:i/>
                                <w:iCs/>
                                <w:sz w:val="22"/>
                                <w:szCs w:val="22"/>
                                <w:lang w:eastAsia="en-IN"/>
                              </w:rPr>
                              <w:t>Nyāya-sūtra</w:t>
                            </w:r>
                            <w:r w:rsidRPr="00C74DE0">
                              <w:rPr>
                                <w:rFonts w:ascii="Times New Roman" w:eastAsia="Times New Roman" w:hAnsi="Times New Roman" w:cs="Times New Roman"/>
                                <w:sz w:val="22"/>
                                <w:szCs w:val="22"/>
                                <w:lang w:eastAsia="en-IN"/>
                              </w:rPr>
                              <w:t xml:space="preserve"> (1.1.1) for true knowledge (</w:t>
                            </w:r>
                            <w:r w:rsidRPr="00C74DE0">
                              <w:rPr>
                                <w:rFonts w:ascii="Times New Roman" w:eastAsia="Times New Roman" w:hAnsi="Times New Roman" w:cs="Times New Roman"/>
                                <w:i/>
                                <w:iCs/>
                                <w:sz w:val="22"/>
                                <w:szCs w:val="22"/>
                                <w:lang w:eastAsia="en-IN"/>
                              </w:rPr>
                              <w:t>pramā</w:t>
                            </w:r>
                            <w:r w:rsidRPr="00C74DE0">
                              <w:rPr>
                                <w:rFonts w:ascii="Times New Roman" w:eastAsia="Times New Roman" w:hAnsi="Times New Roman" w:cs="Times New Roman"/>
                                <w:sz w:val="22"/>
                                <w:szCs w:val="22"/>
                                <w:lang w:eastAsia="en-IN"/>
                              </w:rPr>
                              <w:t>) and how true knowledge helps in achieving liberation (</w:t>
                            </w:r>
                            <w:r w:rsidRPr="00C74DE0">
                              <w:rPr>
                                <w:rFonts w:ascii="Times New Roman" w:hAnsi="Times New Roman" w:cs="Times New Roman"/>
                                <w:i/>
                                <w:iCs/>
                                <w:sz w:val="22"/>
                                <w:szCs w:val="22"/>
                              </w:rPr>
                              <w:t>apavargaḥ</w:t>
                            </w:r>
                            <w:r w:rsidRPr="00C74DE0">
                              <w:rPr>
                                <w:rFonts w:ascii="Times New Roman" w:eastAsia="Times New Roman" w:hAnsi="Times New Roman" w:cs="Times New Roman"/>
                                <w:sz w:val="22"/>
                                <w:szCs w:val="22"/>
                                <w:lang w:eastAsia="en-IN"/>
                              </w:rPr>
                              <w:t xml:space="preserve"> in </w:t>
                            </w:r>
                            <w:r w:rsidRPr="00C74DE0">
                              <w:rPr>
                                <w:rFonts w:ascii="Times New Roman" w:eastAsia="Times New Roman" w:hAnsi="Times New Roman" w:cs="Times New Roman"/>
                                <w:i/>
                                <w:iCs/>
                                <w:sz w:val="22"/>
                                <w:szCs w:val="22"/>
                                <w:lang w:eastAsia="en-IN"/>
                              </w:rPr>
                              <w:t>Nyāya-sūtra</w:t>
                            </w:r>
                            <w:r w:rsidRPr="00C74DE0">
                              <w:rPr>
                                <w:rFonts w:ascii="Times New Roman" w:eastAsia="Times New Roman" w:hAnsi="Times New Roman" w:cs="Times New Roman"/>
                                <w:sz w:val="22"/>
                                <w:szCs w:val="22"/>
                                <w:lang w:eastAsia="en-IN"/>
                              </w:rPr>
                              <w:t>-1.1.2 as the ultimate means of inquiry.</w:t>
                            </w:r>
                          </w:p>
                          <w:p w14:paraId="2BDA6C47" w14:textId="77777777" w:rsidR="00D36DD4" w:rsidRPr="001E5ED7" w:rsidRDefault="00D36DD4" w:rsidP="00D42B42">
                            <w:pPr>
                              <w:rPr>
                                <w:rFonts w:ascii="Times New Roman" w:hAnsi="Times New Roman" w:cs="Times New Roman"/>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5B74A" id="_x0000_s1027" type="#_x0000_t202" style="position:absolute;margin-left:-18.75pt;margin-top:10.6pt;width:256.1pt;height:349.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" fillcolor="#d8d8d8 [2732]" stroked="f">
                <v:textbox>
                  <w:txbxContent>
                    <w:p w14:paraId="49FE9CD7" w14:textId="25297FDA" w:rsidR="007A287D" w:rsidRPr="00E2170E" w:rsidRDefault="007A287D" w:rsidP="00D42B42">
                      <w:pPr>
                        <w:rPr>
                          <w:rFonts w:ascii="Times New Roman" w:hAnsi="Times New Roman" w:cs="Times New Roman"/>
                          <w:b/>
                          <w:bCs/>
                          <w:sz w:val="20"/>
                          <w:szCs w:val="20"/>
                          <w:lang w:val="en-US"/>
                        </w:rPr>
                      </w:pPr>
                      <w:r w:rsidRPr="00E2170E">
                        <w:rPr>
                          <w:rFonts w:ascii="Times New Roman" w:hAnsi="Times New Roman" w:cs="Times New Roman"/>
                          <w:b/>
                          <w:bCs/>
                          <w:sz w:val="20"/>
                          <w:szCs w:val="20"/>
                          <w:lang w:val="en-US"/>
                        </w:rPr>
                        <w:t>Abstract</w:t>
                      </w:r>
                    </w:p>
                    <w:p w14:paraId="6DED02FD" w14:textId="70C00383" w:rsidR="001E5ED7" w:rsidRPr="00C74DE0" w:rsidRDefault="00C74DE0" w:rsidP="00C74DE0">
                      <w:pPr>
                        <w:spacing w:before="100" w:beforeAutospacing="1" w:after="100" w:afterAutospacing="1" w:line="360" w:lineRule="auto"/>
                        <w:jc w:val="both"/>
                        <w:rPr>
                          <w:rFonts w:ascii="Times New Roman" w:eastAsia="Times New Roman" w:hAnsi="Times New Roman"/>
                          <w:sz w:val="22"/>
                          <w:szCs w:val="22"/>
                        </w:rPr>
                      </w:pPr>
                      <w:r w:rsidRPr="00C74DE0">
                        <w:rPr>
                          <w:rFonts w:ascii="Times New Roman" w:eastAsia="Times New Roman" w:hAnsi="Times New Roman" w:cs="Times New Roman"/>
                          <w:sz w:val="22"/>
                          <w:szCs w:val="22"/>
                          <w:lang w:eastAsia="en-IN"/>
                        </w:rPr>
                        <w:t xml:space="preserve">This paper delves into the core of Nyāya philosophy </w:t>
                      </w:r>
                      <w:bookmarkStart w:id="1" w:name="_Hlk209646649"/>
                      <w:r w:rsidRPr="00C74DE0">
                        <w:rPr>
                          <w:rFonts w:ascii="Times New Roman" w:eastAsia="Times New Roman" w:hAnsi="Times New Roman" w:cs="Times New Roman"/>
                          <w:sz w:val="22"/>
                          <w:szCs w:val="22"/>
                          <w:lang w:eastAsia="en-IN"/>
                        </w:rPr>
                        <w:t>by exploring the sixteen categories (</w:t>
                      </w:r>
                      <w:r w:rsidRPr="00C74DE0">
                        <w:rPr>
                          <w:rFonts w:ascii="Times New Roman" w:eastAsia="Times New Roman" w:hAnsi="Times New Roman" w:cs="Times New Roman"/>
                          <w:i/>
                          <w:iCs/>
                          <w:sz w:val="22"/>
                          <w:szCs w:val="22"/>
                          <w:lang w:eastAsia="en-IN"/>
                        </w:rPr>
                        <w:t>ṣoḍaśa-padārthas</w:t>
                      </w:r>
                      <w:r w:rsidRPr="00C74DE0">
                        <w:rPr>
                          <w:rFonts w:ascii="Times New Roman" w:eastAsia="Times New Roman" w:hAnsi="Times New Roman" w:cs="Times New Roman"/>
                          <w:sz w:val="22"/>
                          <w:szCs w:val="22"/>
                          <w:lang w:eastAsia="en-IN"/>
                        </w:rPr>
                        <w:t xml:space="preserve">) outlined in Gautama’s </w:t>
                      </w:r>
                      <w:r w:rsidRPr="00C74DE0">
                        <w:rPr>
                          <w:rFonts w:ascii="Times New Roman" w:eastAsia="Times New Roman" w:hAnsi="Times New Roman" w:cs="Times New Roman"/>
                          <w:i/>
                          <w:iCs/>
                          <w:sz w:val="22"/>
                          <w:szCs w:val="22"/>
                          <w:lang w:eastAsia="en-IN"/>
                        </w:rPr>
                        <w:t>Nyāya-sūtra</w:t>
                      </w:r>
                      <w:r w:rsidRPr="00C74DE0">
                        <w:rPr>
                          <w:rFonts w:ascii="Times New Roman" w:eastAsia="Times New Roman" w:hAnsi="Times New Roman" w:cs="Times New Roman"/>
                          <w:sz w:val="22"/>
                          <w:szCs w:val="22"/>
                          <w:lang w:eastAsia="en-IN"/>
                        </w:rPr>
                        <w:t xml:space="preserve"> </w:t>
                      </w:r>
                      <w:bookmarkEnd w:id="1"/>
                      <w:r w:rsidRPr="00C74DE0">
                        <w:rPr>
                          <w:rFonts w:ascii="Times New Roman" w:eastAsia="Times New Roman" w:hAnsi="Times New Roman" w:cs="Times New Roman"/>
                          <w:sz w:val="22"/>
                          <w:szCs w:val="22"/>
                          <w:lang w:eastAsia="en-IN"/>
                        </w:rPr>
                        <w:t>and their pivotal role in achieving liberation (</w:t>
                      </w:r>
                      <w:r w:rsidRPr="00C74DE0">
                        <w:rPr>
                          <w:rFonts w:ascii="Times New Roman" w:eastAsia="Times New Roman" w:hAnsi="Times New Roman" w:cs="Times New Roman"/>
                          <w:i/>
                          <w:iCs/>
                          <w:sz w:val="22"/>
                          <w:szCs w:val="22"/>
                          <w:lang w:eastAsia="en-IN"/>
                        </w:rPr>
                        <w:t>niḥśreyasa</w:t>
                      </w:r>
                      <w:r w:rsidRPr="00C74DE0">
                        <w:rPr>
                          <w:rFonts w:ascii="Times New Roman" w:eastAsia="Times New Roman" w:hAnsi="Times New Roman" w:cs="Times New Roman"/>
                          <w:sz w:val="22"/>
                          <w:szCs w:val="22"/>
                          <w:lang w:eastAsia="en-IN"/>
                        </w:rPr>
                        <w:t>). While it provides the fundamentals of the ultimate goal, liberation (</w:t>
                      </w:r>
                      <w:r w:rsidRPr="00C74DE0">
                        <w:rPr>
                          <w:rFonts w:ascii="Times New Roman" w:eastAsia="Times New Roman" w:hAnsi="Times New Roman" w:cs="Times New Roman"/>
                          <w:i/>
                          <w:iCs/>
                          <w:sz w:val="22"/>
                          <w:szCs w:val="22"/>
                          <w:lang w:eastAsia="en-IN"/>
                        </w:rPr>
                        <w:t>niḥśreyasa</w:t>
                      </w:r>
                      <w:r w:rsidRPr="00C74DE0">
                        <w:rPr>
                          <w:rFonts w:ascii="Times New Roman" w:eastAsia="Times New Roman" w:hAnsi="Times New Roman" w:cs="Times New Roman"/>
                          <w:sz w:val="22"/>
                          <w:szCs w:val="22"/>
                          <w:lang w:eastAsia="en-IN"/>
                        </w:rPr>
                        <w:t xml:space="preserve">), it would also provide the foundation for why Nyāya philosophy is not merely a spiritual philosophy but has a longstanding logical set-up for acquiring knowledge. Hence, the paper provides the philosophical and epistemological analysis underpinning the connection of the categories in the </w:t>
                      </w:r>
                      <w:r w:rsidRPr="00C74DE0">
                        <w:rPr>
                          <w:rFonts w:ascii="Times New Roman" w:eastAsia="Times New Roman" w:hAnsi="Times New Roman" w:cs="Times New Roman"/>
                          <w:i/>
                          <w:iCs/>
                          <w:sz w:val="22"/>
                          <w:szCs w:val="22"/>
                          <w:lang w:eastAsia="en-IN"/>
                        </w:rPr>
                        <w:t>Nyāya-sūtra</w:t>
                      </w:r>
                      <w:r w:rsidRPr="00C74DE0">
                        <w:rPr>
                          <w:rFonts w:ascii="Times New Roman" w:eastAsia="Times New Roman" w:hAnsi="Times New Roman" w:cs="Times New Roman"/>
                          <w:sz w:val="22"/>
                          <w:szCs w:val="22"/>
                          <w:lang w:eastAsia="en-IN"/>
                        </w:rPr>
                        <w:t xml:space="preserve"> (1.1.1) for true knowledge (</w:t>
                      </w:r>
                      <w:r w:rsidRPr="00C74DE0">
                        <w:rPr>
                          <w:rFonts w:ascii="Times New Roman" w:eastAsia="Times New Roman" w:hAnsi="Times New Roman" w:cs="Times New Roman"/>
                          <w:i/>
                          <w:iCs/>
                          <w:sz w:val="22"/>
                          <w:szCs w:val="22"/>
                          <w:lang w:eastAsia="en-IN"/>
                        </w:rPr>
                        <w:t>pramā</w:t>
                      </w:r>
                      <w:r w:rsidRPr="00C74DE0">
                        <w:rPr>
                          <w:rFonts w:ascii="Times New Roman" w:eastAsia="Times New Roman" w:hAnsi="Times New Roman" w:cs="Times New Roman"/>
                          <w:sz w:val="22"/>
                          <w:szCs w:val="22"/>
                          <w:lang w:eastAsia="en-IN"/>
                        </w:rPr>
                        <w:t>) and how true knowledge helps in achieving liberation (</w:t>
                      </w:r>
                      <w:r w:rsidRPr="00C74DE0">
                        <w:rPr>
                          <w:rFonts w:ascii="Times New Roman" w:hAnsi="Times New Roman" w:cs="Times New Roman"/>
                          <w:i/>
                          <w:iCs/>
                          <w:sz w:val="22"/>
                          <w:szCs w:val="22"/>
                        </w:rPr>
                        <w:t>apavargaḥ</w:t>
                      </w:r>
                      <w:r w:rsidRPr="00C74DE0">
                        <w:rPr>
                          <w:rFonts w:ascii="Times New Roman" w:eastAsia="Times New Roman" w:hAnsi="Times New Roman" w:cs="Times New Roman"/>
                          <w:sz w:val="22"/>
                          <w:szCs w:val="22"/>
                          <w:lang w:eastAsia="en-IN"/>
                        </w:rPr>
                        <w:t xml:space="preserve"> in </w:t>
                      </w:r>
                      <w:r w:rsidRPr="00C74DE0">
                        <w:rPr>
                          <w:rFonts w:ascii="Times New Roman" w:eastAsia="Times New Roman" w:hAnsi="Times New Roman" w:cs="Times New Roman"/>
                          <w:i/>
                          <w:iCs/>
                          <w:sz w:val="22"/>
                          <w:szCs w:val="22"/>
                          <w:lang w:eastAsia="en-IN"/>
                        </w:rPr>
                        <w:t>Nyāya-sūtra</w:t>
                      </w:r>
                      <w:r w:rsidRPr="00C74DE0">
                        <w:rPr>
                          <w:rFonts w:ascii="Times New Roman" w:eastAsia="Times New Roman" w:hAnsi="Times New Roman" w:cs="Times New Roman"/>
                          <w:sz w:val="22"/>
                          <w:szCs w:val="22"/>
                          <w:lang w:eastAsia="en-IN"/>
                        </w:rPr>
                        <w:t>-1.1.2 as the ultimate means of inquiry.</w:t>
                      </w:r>
                    </w:p>
                    <w:p w14:paraId="2BDA6C47" w14:textId="77777777" w:rsidR="00D36DD4" w:rsidRPr="001E5ED7" w:rsidRDefault="00D36DD4" w:rsidP="00D42B42">
                      <w:pPr>
                        <w:rPr>
                          <w:rFonts w:ascii="Times New Roman" w:hAnsi="Times New Roman" w:cs="Times New Roman"/>
                          <w:b/>
                          <w:bCs/>
                          <w:sz w:val="20"/>
                          <w:szCs w:val="20"/>
                        </w:rPr>
                      </w:pPr>
                    </w:p>
                  </w:txbxContent>
                </v:textbox>
                <w10:wrap type="square"/>
              </v:shape>
            </w:pict>
          </mc:Fallback>
        </mc:AlternateContent>
      </w:r>
    </w:p>
    <w:p w14:paraId="2061F968" w14:textId="09443799" w:rsidR="007A287D" w:rsidRPr="00F57F77" w:rsidRDefault="005D5005" w:rsidP="00F57F77">
      <w:pPr>
        <w:pStyle w:val="NoSpacing"/>
        <w:spacing w:line="480" w:lineRule="auto"/>
        <w:ind w:left="4320"/>
        <w:jc w:val="center"/>
        <w:rPr>
          <w:rFonts w:ascii="Times New Roman" w:hAnsi="Times New Roman" w:cs="Times New Roman"/>
          <w:b/>
          <w:bCs/>
          <w:noProof/>
          <w:sz w:val="28"/>
          <w:szCs w:val="28"/>
          <w:lang w:val="en-US"/>
        </w:rPr>
      </w:pPr>
      <w:r w:rsidRPr="00F57F77">
        <w:rPr>
          <w:rFonts w:ascii="Times New Roman" w:hAnsi="Times New Roman" w:cs="Times New Roman"/>
          <w:b/>
          <w:bCs/>
          <w:noProof/>
          <w:sz w:val="28"/>
          <w:szCs w:val="28"/>
          <w:lang w:val="en-US"/>
        </w:rPr>
        <w:drawing>
          <wp:anchor distT="0" distB="0" distL="114300" distR="114300" simplePos="0" relativeHeight="251667456" behindDoc="0" locked="0" layoutInCell="1" allowOverlap="1" wp14:anchorId="77A2E713" wp14:editId="7AB9F851">
            <wp:simplePos x="0" y="0"/>
            <wp:positionH relativeFrom="column">
              <wp:posOffset>4030588</wp:posOffset>
            </wp:positionH>
            <wp:positionV relativeFrom="page">
              <wp:posOffset>3429242</wp:posOffset>
            </wp:positionV>
            <wp:extent cx="636905" cy="359410"/>
            <wp:effectExtent l="0" t="0" r="0" b="2540"/>
            <wp:wrapNone/>
            <wp:docPr id="6733296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29623" name="Picture 673329623"/>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636905" cy="359410"/>
                    </a:xfrm>
                    <a:prstGeom prst="rect">
                      <a:avLst/>
                    </a:prstGeom>
                  </pic:spPr>
                </pic:pic>
              </a:graphicData>
            </a:graphic>
            <wp14:sizeRelH relativeFrom="margin">
              <wp14:pctWidth>0</wp14:pctWidth>
            </wp14:sizeRelH>
            <wp14:sizeRelV relativeFrom="margin">
              <wp14:pctHeight>0</wp14:pctHeight>
            </wp14:sizeRelV>
          </wp:anchor>
        </w:drawing>
      </w:r>
      <w:r w:rsidR="0042551B">
        <w:rPr>
          <w:rFonts w:ascii="Times New Roman" w:hAnsi="Times New Roman" w:cs="Times New Roman"/>
          <w:noProof/>
          <w:lang w:val="en-US"/>
        </w:rPr>
        <mc:AlternateContent>
          <mc:Choice Requires="wps">
            <w:drawing>
              <wp:anchor distT="0" distB="0" distL="114300" distR="114300" simplePos="0" relativeHeight="251674624" behindDoc="0" locked="0" layoutInCell="1" allowOverlap="1" wp14:anchorId="308B9466" wp14:editId="18CDFC4F">
                <wp:simplePos x="0" y="0"/>
                <wp:positionH relativeFrom="column">
                  <wp:posOffset>3804944</wp:posOffset>
                </wp:positionH>
                <wp:positionV relativeFrom="paragraph">
                  <wp:posOffset>291305</wp:posOffset>
                </wp:positionV>
                <wp:extent cx="1612118" cy="0"/>
                <wp:effectExtent l="0" t="0" r="0" b="0"/>
                <wp:wrapNone/>
                <wp:docPr id="1971923632" name="Straight Connector 4"/>
                <wp:cNvGraphicFramePr/>
                <a:graphic xmlns:a="http://schemas.openxmlformats.org/drawingml/2006/main">
                  <a:graphicData uri="http://schemas.microsoft.com/office/word/2010/wordprocessingShape">
                    <wps:wsp>
                      <wps:cNvCnPr/>
                      <wps:spPr>
                        <a:xfrm>
                          <a:off x="0" y="0"/>
                          <a:ext cx="1612118"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6E2A8" id="Straight Connector 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6pt,22.95pt" to="426.5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" strokecolor="black [3200]" strokeweight="1pt">
                <v:stroke joinstyle="miter"/>
              </v:line>
            </w:pict>
          </mc:Fallback>
        </mc:AlternateContent>
      </w:r>
      <w:r w:rsidR="0052565F">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14:anchorId="0F2B6EF2" wp14:editId="50BF774E">
                <wp:simplePos x="0" y="0"/>
                <wp:positionH relativeFrom="column">
                  <wp:posOffset>3458129</wp:posOffset>
                </wp:positionH>
                <wp:positionV relativeFrom="paragraph">
                  <wp:posOffset>1905</wp:posOffset>
                </wp:positionV>
                <wp:extent cx="2543883" cy="4333"/>
                <wp:effectExtent l="0" t="0" r="27940" b="34290"/>
                <wp:wrapNone/>
                <wp:docPr id="1824112671" name="Straight Connector 4"/>
                <wp:cNvGraphicFramePr/>
                <a:graphic xmlns:a="http://schemas.openxmlformats.org/drawingml/2006/main">
                  <a:graphicData uri="http://schemas.microsoft.com/office/word/2010/wordprocessingShape">
                    <wps:wsp>
                      <wps:cNvCnPr/>
                      <wps:spPr>
                        <a:xfrm flipV="1">
                          <a:off x="0" y="0"/>
                          <a:ext cx="2543883" cy="4333"/>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DCC6DA" id="Straight Connector 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3pt,.15pt" to="472.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" strokecolor="black [3200]" strokeweight="1pt">
                <v:stroke joinstyle="miter"/>
              </v:line>
            </w:pict>
          </mc:Fallback>
        </mc:AlternateContent>
      </w:r>
      <w:r w:rsidR="007A287D" w:rsidRPr="00F57F77">
        <w:rPr>
          <w:rFonts w:ascii="Times New Roman" w:hAnsi="Times New Roman" w:cs="Times New Roman"/>
          <w:b/>
          <w:bCs/>
          <w:noProof/>
          <w:sz w:val="28"/>
          <w:szCs w:val="28"/>
          <w:lang w:val="en-US"/>
        </w:rPr>
        <w:t>Original Article</w:t>
      </w:r>
    </w:p>
    <w:p w14:paraId="45CC88BE" w14:textId="1E8FAF49" w:rsidR="007B7D6E" w:rsidRPr="00F57F77" w:rsidRDefault="007A287D" w:rsidP="00EF14CE">
      <w:pPr>
        <w:pStyle w:val="NoSpacing"/>
        <w:spacing w:line="480" w:lineRule="auto"/>
        <w:rPr>
          <w:rFonts w:ascii="Times New Roman" w:hAnsi="Times New Roman" w:cs="Times New Roman"/>
          <w:b/>
          <w:bCs/>
          <w:noProof/>
          <w:sz w:val="28"/>
          <w:szCs w:val="28"/>
          <w:lang w:val="en-US"/>
        </w:rPr>
      </w:pPr>
      <w:r w:rsidRPr="00F57F77">
        <w:rPr>
          <w:rFonts w:ascii="Times New Roman" w:hAnsi="Times New Roman" w:cs="Times New Roman"/>
          <w:b/>
          <w:bCs/>
          <w:noProof/>
          <w:sz w:val="28"/>
          <w:szCs w:val="28"/>
          <w:lang w:val="en-US"/>
        </w:rPr>
        <w:t>Open Access</w:t>
      </w:r>
    </w:p>
    <w:p w14:paraId="683F8F0A" w14:textId="1EC24734" w:rsidR="007B7D6E" w:rsidRPr="00AA7307" w:rsidRDefault="007B7D6E" w:rsidP="0052565F">
      <w:pPr>
        <w:pStyle w:val="NoSpacing"/>
        <w:spacing w:line="276" w:lineRule="auto"/>
        <w:rPr>
          <w:rFonts w:ascii="Times New Roman" w:hAnsi="Times New Roman" w:cs="Times New Roman"/>
          <w:b/>
          <w:bCs/>
          <w:noProof/>
          <w:sz w:val="22"/>
          <w:szCs w:val="28"/>
          <w:lang w:val="en-US"/>
        </w:rPr>
      </w:pPr>
      <w:r w:rsidRPr="00AA7307">
        <w:rPr>
          <w:rFonts w:ascii="Times New Roman" w:hAnsi="Times New Roman" w:cs="Times New Roman"/>
          <w:b/>
          <w:bCs/>
          <w:noProof/>
          <w:sz w:val="22"/>
          <w:szCs w:val="28"/>
          <w:lang w:val="en-US"/>
        </w:rPr>
        <w:t>Received:</w:t>
      </w:r>
      <w:r w:rsidR="00AA7307" w:rsidRPr="00AA7307">
        <w:rPr>
          <w:rFonts w:ascii="Times New Roman" w:hAnsi="Times New Roman" w:cs="Times New Roman"/>
          <w:b/>
          <w:bCs/>
          <w:noProof/>
          <w:sz w:val="22"/>
          <w:szCs w:val="28"/>
          <w:lang w:val="en-US"/>
        </w:rPr>
        <w:t xml:space="preserve"> </w:t>
      </w:r>
      <w:r w:rsidR="00AA7307" w:rsidRPr="00AA7307">
        <w:rPr>
          <w:rFonts w:ascii="Times New Roman" w:hAnsi="Times New Roman" w:cs="Times New Roman"/>
          <w:noProof/>
          <w:sz w:val="22"/>
          <w:szCs w:val="28"/>
          <w:lang w:val="en-US"/>
        </w:rPr>
        <w:t>0</w:t>
      </w:r>
      <w:r w:rsidR="001E5ED7">
        <w:rPr>
          <w:rFonts w:ascii="Times New Roman" w:hAnsi="Times New Roman" w:cs="Times New Roman"/>
          <w:noProof/>
          <w:sz w:val="22"/>
          <w:szCs w:val="28"/>
          <w:lang w:val="en-US"/>
        </w:rPr>
        <w:t>6</w:t>
      </w:r>
      <w:r w:rsidR="00AA7307" w:rsidRPr="00AA7307">
        <w:rPr>
          <w:rFonts w:ascii="Times New Roman" w:hAnsi="Times New Roman" w:cs="Times New Roman"/>
          <w:noProof/>
          <w:sz w:val="22"/>
          <w:szCs w:val="28"/>
          <w:lang w:val="en-US"/>
        </w:rPr>
        <w:t>.09.2025</w:t>
      </w:r>
    </w:p>
    <w:p w14:paraId="4BD9EBDB" w14:textId="0D1D86B7" w:rsidR="007B7D6E" w:rsidRPr="00AA7307" w:rsidRDefault="007B7D6E" w:rsidP="0052565F">
      <w:pPr>
        <w:pStyle w:val="NoSpacing"/>
        <w:spacing w:line="276" w:lineRule="auto"/>
        <w:rPr>
          <w:rFonts w:ascii="Times New Roman" w:hAnsi="Times New Roman" w:cs="Times New Roman"/>
          <w:noProof/>
          <w:sz w:val="22"/>
          <w:szCs w:val="28"/>
          <w:lang w:val="en-US"/>
        </w:rPr>
      </w:pPr>
      <w:r w:rsidRPr="00AA7307">
        <w:rPr>
          <w:rFonts w:ascii="Times New Roman" w:hAnsi="Times New Roman" w:cs="Times New Roman"/>
          <w:b/>
          <w:bCs/>
          <w:noProof/>
          <w:sz w:val="22"/>
          <w:szCs w:val="28"/>
          <w:lang w:val="en-US"/>
        </w:rPr>
        <w:t xml:space="preserve">Accepted: </w:t>
      </w:r>
      <w:r w:rsidR="00F871C1" w:rsidRPr="00F871C1">
        <w:rPr>
          <w:rFonts w:ascii="Times New Roman" w:hAnsi="Times New Roman" w:cs="Times New Roman"/>
          <w:noProof/>
          <w:sz w:val="22"/>
          <w:szCs w:val="28"/>
          <w:lang w:val="en-US"/>
        </w:rPr>
        <w:t>26</w:t>
      </w:r>
      <w:r w:rsidR="00AA7307" w:rsidRPr="00AA7307">
        <w:rPr>
          <w:rFonts w:ascii="Times New Roman" w:hAnsi="Times New Roman" w:cs="Times New Roman"/>
          <w:noProof/>
          <w:sz w:val="22"/>
          <w:szCs w:val="28"/>
          <w:lang w:val="en-US"/>
        </w:rPr>
        <w:t>.09.2025</w:t>
      </w:r>
    </w:p>
    <w:p w14:paraId="68F633AF" w14:textId="63444E58" w:rsidR="007B7D6E" w:rsidRPr="00AA7307" w:rsidRDefault="007B7D6E" w:rsidP="0052565F">
      <w:pPr>
        <w:pStyle w:val="NoSpacing"/>
        <w:spacing w:line="276" w:lineRule="auto"/>
        <w:rPr>
          <w:rFonts w:ascii="Times New Roman" w:hAnsi="Times New Roman" w:cs="Times New Roman"/>
          <w:b/>
          <w:bCs/>
          <w:noProof/>
          <w:sz w:val="22"/>
          <w:szCs w:val="28"/>
          <w:lang w:val="en-US"/>
        </w:rPr>
      </w:pPr>
      <w:r w:rsidRPr="00AA7307">
        <w:rPr>
          <w:rFonts w:ascii="Times New Roman" w:hAnsi="Times New Roman" w:cs="Times New Roman"/>
          <w:b/>
          <w:bCs/>
          <w:noProof/>
          <w:sz w:val="22"/>
          <w:szCs w:val="28"/>
          <w:lang w:val="en-US"/>
        </w:rPr>
        <w:t>Publication Date</w:t>
      </w:r>
      <w:r w:rsidR="00F57F77" w:rsidRPr="00AA7307">
        <w:rPr>
          <w:rFonts w:ascii="Times New Roman" w:hAnsi="Times New Roman" w:cs="Times New Roman"/>
          <w:b/>
          <w:bCs/>
          <w:noProof/>
          <w:sz w:val="22"/>
          <w:szCs w:val="28"/>
          <w:lang w:val="en-US"/>
        </w:rPr>
        <w:t xml:space="preserve">: </w:t>
      </w:r>
      <w:r w:rsidR="001E5ED7">
        <w:rPr>
          <w:rFonts w:ascii="Times New Roman" w:hAnsi="Times New Roman" w:cs="Times New Roman"/>
          <w:b/>
          <w:bCs/>
          <w:noProof/>
          <w:sz w:val="22"/>
          <w:szCs w:val="28"/>
          <w:lang w:val="en-US"/>
        </w:rPr>
        <w:t xml:space="preserve"> </w:t>
      </w:r>
      <w:r w:rsidR="001E5ED7" w:rsidRPr="001E5ED7">
        <w:rPr>
          <w:rFonts w:ascii="Times New Roman" w:hAnsi="Times New Roman" w:cs="Times New Roman"/>
          <w:noProof/>
          <w:sz w:val="22"/>
          <w:szCs w:val="28"/>
          <w:lang w:val="en-US"/>
        </w:rPr>
        <w:t xml:space="preserve">30 </w:t>
      </w:r>
      <w:r w:rsidR="00F57F77" w:rsidRPr="001E5ED7">
        <w:rPr>
          <w:rFonts w:ascii="Times New Roman" w:hAnsi="Times New Roman" w:cs="Times New Roman"/>
          <w:noProof/>
          <w:sz w:val="22"/>
          <w:szCs w:val="28"/>
          <w:lang w:val="en-US"/>
        </w:rPr>
        <w:t>September 2025</w:t>
      </w:r>
    </w:p>
    <w:p w14:paraId="3FDA843B" w14:textId="27AD9D7E" w:rsidR="007B7D6E" w:rsidRPr="00AA7307" w:rsidRDefault="007B7D6E" w:rsidP="0052565F">
      <w:pPr>
        <w:pStyle w:val="NoSpacing"/>
        <w:spacing w:line="276" w:lineRule="auto"/>
        <w:rPr>
          <w:rFonts w:ascii="Times New Roman" w:hAnsi="Times New Roman" w:cs="Times New Roman"/>
          <w:b/>
          <w:bCs/>
          <w:noProof/>
          <w:sz w:val="22"/>
          <w:szCs w:val="28"/>
          <w:lang w:val="en-US"/>
        </w:rPr>
      </w:pPr>
      <w:r w:rsidRPr="00AA7307">
        <w:rPr>
          <w:rFonts w:ascii="Times New Roman" w:hAnsi="Times New Roman" w:cs="Times New Roman"/>
          <w:b/>
          <w:bCs/>
          <w:noProof/>
          <w:sz w:val="22"/>
          <w:szCs w:val="28"/>
          <w:lang w:val="en-US"/>
        </w:rPr>
        <w:t>Volume:</w:t>
      </w:r>
      <w:r w:rsidR="00F57F77" w:rsidRPr="00AA7307">
        <w:rPr>
          <w:rFonts w:ascii="Times New Roman" w:hAnsi="Times New Roman" w:cs="Times New Roman"/>
          <w:b/>
          <w:bCs/>
          <w:noProof/>
          <w:sz w:val="22"/>
          <w:szCs w:val="28"/>
          <w:lang w:val="en-US"/>
        </w:rPr>
        <w:t xml:space="preserve"> 1</w:t>
      </w:r>
    </w:p>
    <w:p w14:paraId="41CAF354" w14:textId="3CABE754" w:rsidR="007B7D6E" w:rsidRPr="00AA7307" w:rsidRDefault="007B7D6E" w:rsidP="0052565F">
      <w:pPr>
        <w:pStyle w:val="NoSpacing"/>
        <w:spacing w:line="276" w:lineRule="auto"/>
        <w:rPr>
          <w:rFonts w:ascii="Times New Roman" w:hAnsi="Times New Roman" w:cs="Times New Roman"/>
          <w:b/>
          <w:bCs/>
          <w:noProof/>
          <w:sz w:val="22"/>
          <w:szCs w:val="28"/>
          <w:lang w:val="en-US"/>
        </w:rPr>
      </w:pPr>
      <w:r w:rsidRPr="00AA7307">
        <w:rPr>
          <w:rFonts w:ascii="Times New Roman" w:hAnsi="Times New Roman" w:cs="Times New Roman"/>
          <w:b/>
          <w:bCs/>
          <w:noProof/>
          <w:sz w:val="22"/>
          <w:szCs w:val="28"/>
          <w:lang w:val="en-US"/>
        </w:rPr>
        <w:t xml:space="preserve">Issue: </w:t>
      </w:r>
      <w:r w:rsidR="00F57F77" w:rsidRPr="00AA7307">
        <w:rPr>
          <w:rFonts w:ascii="Times New Roman" w:hAnsi="Times New Roman" w:cs="Times New Roman"/>
          <w:b/>
          <w:bCs/>
          <w:noProof/>
          <w:sz w:val="22"/>
          <w:szCs w:val="28"/>
          <w:lang w:val="en-US"/>
        </w:rPr>
        <w:t>2</w:t>
      </w:r>
    </w:p>
    <w:p w14:paraId="79EEC8C0" w14:textId="5A5E150E" w:rsidR="007B7D6E" w:rsidRPr="00AA7307" w:rsidRDefault="007B7D6E" w:rsidP="0052565F">
      <w:pPr>
        <w:pStyle w:val="NoSpacing"/>
        <w:spacing w:line="276" w:lineRule="auto"/>
        <w:rPr>
          <w:rFonts w:ascii="Times New Roman" w:hAnsi="Times New Roman" w:cs="Times New Roman"/>
          <w:b/>
          <w:bCs/>
          <w:noProof/>
          <w:sz w:val="22"/>
          <w:szCs w:val="28"/>
          <w:lang w:val="en-US"/>
        </w:rPr>
      </w:pPr>
      <w:r w:rsidRPr="00AA7307">
        <w:rPr>
          <w:rFonts w:ascii="Times New Roman" w:hAnsi="Times New Roman" w:cs="Times New Roman"/>
          <w:b/>
          <w:bCs/>
          <w:noProof/>
          <w:sz w:val="22"/>
          <w:szCs w:val="28"/>
          <w:lang w:val="en-US"/>
        </w:rPr>
        <w:t xml:space="preserve">Doi: </w:t>
      </w:r>
      <w:r w:rsidR="006B6F29" w:rsidRPr="006B6F29">
        <w:rPr>
          <w:rFonts w:ascii="Times New Roman" w:hAnsi="Times New Roman" w:cs="Times New Roman"/>
          <w:b/>
          <w:bCs/>
          <w:noProof/>
          <w:sz w:val="22"/>
          <w:szCs w:val="28"/>
        </w:rPr>
        <w:t>10.5281/zenodo.17244813</w:t>
      </w:r>
    </w:p>
    <w:p w14:paraId="44EEFCFA" w14:textId="1DCFF31A" w:rsidR="00AA7307" w:rsidRDefault="00AA7307" w:rsidP="0052565F">
      <w:pPr>
        <w:pStyle w:val="NoSpacing"/>
        <w:spacing w:line="276" w:lineRule="auto"/>
        <w:rPr>
          <w:rFonts w:ascii="Times New Roman" w:hAnsi="Times New Roman" w:cs="Times New Roman"/>
          <w:b/>
          <w:bCs/>
          <w:noProof/>
          <w:lang w:val="en-US"/>
        </w:rPr>
      </w:pPr>
    </w:p>
    <w:p w14:paraId="789D9F83" w14:textId="288301F6" w:rsidR="00B47BEA" w:rsidRPr="0052565F" w:rsidRDefault="007B7D6E" w:rsidP="0052565F">
      <w:pPr>
        <w:pStyle w:val="NoSpacing"/>
        <w:spacing w:line="276" w:lineRule="auto"/>
        <w:rPr>
          <w:rFonts w:ascii="Times New Roman" w:hAnsi="Times New Roman" w:cs="Times New Roman"/>
          <w:b/>
          <w:bCs/>
          <w:noProof/>
          <w:lang w:val="en-US"/>
        </w:rPr>
      </w:pPr>
      <w:r w:rsidRPr="0052565F">
        <w:rPr>
          <w:rFonts w:ascii="Times New Roman" w:hAnsi="Times New Roman" w:cs="Times New Roman"/>
          <w:b/>
          <w:bCs/>
          <w:noProof/>
          <w:lang w:val="en-US"/>
        </w:rPr>
        <w:t>Copyrights:</w:t>
      </w:r>
      <w:r w:rsidR="00F57F77" w:rsidRPr="0052565F">
        <w:rPr>
          <w:rFonts w:ascii="Times New Roman" w:hAnsi="Times New Roman" w:cs="Times New Roman"/>
          <w:b/>
          <w:bCs/>
          <w:noProof/>
          <w:lang w:val="en-US"/>
        </w:rPr>
        <w:t xml:space="preserve"> </w:t>
      </w:r>
    </w:p>
    <w:p w14:paraId="3C4D32AC" w14:textId="77D4D6E3" w:rsidR="00B47BEA" w:rsidRDefault="00C74DE0" w:rsidP="0052565F">
      <w:pPr>
        <w:spacing w:line="276" w:lineRule="auto"/>
        <w:rPr>
          <w:rFonts w:ascii="Times New Roman" w:eastAsia="Times New Roman" w:hAnsi="Times New Roman" w:cs="Times New Roman"/>
          <w:kern w:val="0"/>
          <w:szCs w:val="24"/>
          <w14:ligatures w14:val="none"/>
        </w:rPr>
      </w:pPr>
      <w:r w:rsidRPr="00B47BEA">
        <w:rPr>
          <w:rFonts w:ascii="Noto Sans" w:eastAsia="Times New Roman" w:hAnsi="Noto Sans" w:cs="Noto Sans"/>
          <w:noProof/>
          <w:color w:val="006798"/>
          <w:kern w:val="0"/>
          <w:sz w:val="20"/>
          <w:szCs w:val="20"/>
          <w:shd w:val="clear" w:color="auto" w:fill="FFFFFF"/>
          <w14:ligatures w14:val="none"/>
        </w:rPr>
        <w:drawing>
          <wp:anchor distT="0" distB="0" distL="114300" distR="114300" simplePos="0" relativeHeight="251677696" behindDoc="0" locked="0" layoutInCell="1" allowOverlap="1" wp14:anchorId="582A58F2" wp14:editId="000103A3">
            <wp:simplePos x="0" y="0"/>
            <wp:positionH relativeFrom="column">
              <wp:posOffset>3194574</wp:posOffset>
            </wp:positionH>
            <wp:positionV relativeFrom="page">
              <wp:posOffset>5506637</wp:posOffset>
            </wp:positionV>
            <wp:extent cx="838200" cy="295275"/>
            <wp:effectExtent l="0" t="0" r="0" b="9525"/>
            <wp:wrapNone/>
            <wp:docPr id="2" name="Picture 1"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p>
    <w:p w14:paraId="0ABD5163" w14:textId="459B7498" w:rsidR="00AA7307" w:rsidRDefault="00AA7307" w:rsidP="00B47BEA">
      <w:pPr>
        <w:shd w:val="clear" w:color="auto" w:fill="FFFFFF"/>
        <w:spacing w:after="0" w:line="240" w:lineRule="auto"/>
        <w:rPr>
          <w:rFonts w:ascii="Times New Roman" w:eastAsia="Times New Roman" w:hAnsi="Times New Roman" w:cs="Times New Roman"/>
          <w:kern w:val="0"/>
          <w:szCs w:val="24"/>
          <w14:ligatures w14:val="none"/>
        </w:rPr>
      </w:pPr>
    </w:p>
    <w:p w14:paraId="789DC646" w14:textId="314574FB" w:rsidR="00B47BEA" w:rsidRDefault="00B47BEA" w:rsidP="00B47BEA">
      <w:pPr>
        <w:shd w:val="clear" w:color="auto" w:fill="FFFFFF"/>
        <w:spacing w:after="0" w:line="240" w:lineRule="auto"/>
        <w:rPr>
          <w:rFonts w:ascii="Noto Sans" w:eastAsia="Times New Roman" w:hAnsi="Noto Sans" w:cs="Noto Sans"/>
          <w:kern w:val="0"/>
          <w:sz w:val="20"/>
          <w:szCs w:val="20"/>
          <w14:ligatures w14:val="none"/>
        </w:rPr>
      </w:pPr>
      <w:r w:rsidRPr="00B47BEA">
        <w:rPr>
          <w:rFonts w:ascii="Noto Sans" w:eastAsia="Times New Roman" w:hAnsi="Noto Sans" w:cs="Noto Sans"/>
          <w:kern w:val="0"/>
          <w:sz w:val="20"/>
          <w:szCs w:val="20"/>
          <w14:ligatures w14:val="none"/>
        </w:rPr>
        <w:t>This work is licensed under a </w:t>
      </w:r>
      <w:hyperlink r:id="rId15" w:history="1">
        <w:r w:rsidR="005D5005">
          <w:rPr>
            <w:rFonts w:ascii="Noto Sans" w:eastAsia="Times New Roman" w:hAnsi="Noto Sans" w:cs="Noto Sans"/>
            <w:color w:val="008ACB"/>
            <w:kern w:val="0"/>
            <w:sz w:val="20"/>
            <w:szCs w:val="20"/>
            <w:u w:val="single"/>
            <w14:ligatures w14:val="none"/>
          </w:rPr>
          <w:t>Creative Commons Attribution-NonCommercial-No Derivatives 4.0 International License</w:t>
        </w:r>
      </w:hyperlink>
      <w:r w:rsidRPr="00B47BEA">
        <w:rPr>
          <w:rFonts w:ascii="Noto Sans" w:eastAsia="Times New Roman" w:hAnsi="Noto Sans" w:cs="Noto Sans"/>
          <w:kern w:val="0"/>
          <w:sz w:val="20"/>
          <w:szCs w:val="20"/>
          <w14:ligatures w14:val="none"/>
        </w:rPr>
        <w:t>.</w:t>
      </w:r>
    </w:p>
    <w:p w14:paraId="7D3F52EE" w14:textId="77777777" w:rsidR="00C32244" w:rsidRPr="00B47BEA" w:rsidRDefault="00C32244" w:rsidP="00B47BEA">
      <w:pPr>
        <w:shd w:val="clear" w:color="auto" w:fill="FFFFFF"/>
        <w:spacing w:after="0" w:line="240" w:lineRule="auto"/>
        <w:rPr>
          <w:rFonts w:ascii="Noto Sans" w:eastAsia="Times New Roman" w:hAnsi="Noto Sans" w:cs="Noto Sans"/>
          <w:kern w:val="0"/>
          <w:sz w:val="20"/>
          <w:szCs w:val="20"/>
          <w14:ligatures w14:val="none"/>
        </w:rPr>
      </w:pPr>
    </w:p>
    <w:p w14:paraId="1B7E5CD1" w14:textId="77777777" w:rsidR="00C65865" w:rsidRDefault="007B7D6E" w:rsidP="00C32244">
      <w:pPr>
        <w:pStyle w:val="NoSpacing"/>
        <w:spacing w:line="276" w:lineRule="auto"/>
        <w:rPr>
          <w:rFonts w:ascii="Times New Roman" w:hAnsi="Times New Roman" w:cs="Times New Roman"/>
          <w:noProof/>
          <w:szCs w:val="24"/>
          <w:lang w:val="en-US"/>
        </w:rPr>
      </w:pPr>
      <w:r w:rsidRPr="00F57F77">
        <w:rPr>
          <w:rFonts w:ascii="Times New Roman" w:hAnsi="Times New Roman" w:cs="Times New Roman"/>
          <w:b/>
          <w:bCs/>
          <w:noProof/>
          <w:szCs w:val="24"/>
          <w:lang w:val="en-US"/>
        </w:rPr>
        <w:t>Published</w:t>
      </w:r>
      <w:r w:rsidR="0052565F">
        <w:rPr>
          <w:rFonts w:ascii="Times New Roman" w:hAnsi="Times New Roman" w:cs="Times New Roman"/>
          <w:b/>
          <w:bCs/>
          <w:noProof/>
          <w:szCs w:val="24"/>
          <w:lang w:val="en-US"/>
        </w:rPr>
        <w:t xml:space="preserve"> </w:t>
      </w:r>
      <w:r w:rsidRPr="00F57F77">
        <w:rPr>
          <w:rFonts w:ascii="Times New Roman" w:hAnsi="Times New Roman" w:cs="Times New Roman"/>
          <w:b/>
          <w:bCs/>
          <w:noProof/>
          <w:szCs w:val="24"/>
          <w:lang w:val="en-US"/>
        </w:rPr>
        <w:t xml:space="preserve">by: </w:t>
      </w:r>
      <w:r w:rsidR="00F57F77" w:rsidRPr="00F57F77">
        <w:rPr>
          <w:rFonts w:ascii="Times New Roman" w:hAnsi="Times New Roman" w:cs="Times New Roman"/>
          <w:noProof/>
          <w:szCs w:val="24"/>
          <w:lang w:val="en-US"/>
        </w:rPr>
        <w:t>North Bengal Philosophers Association</w:t>
      </w:r>
    </w:p>
    <w:p w14:paraId="5917D3EB" w14:textId="76E1A6D3" w:rsidR="007B7D6E" w:rsidRPr="00C32244" w:rsidRDefault="00C74DE0" w:rsidP="00C32244">
      <w:pPr>
        <w:pStyle w:val="NoSpacing"/>
        <w:spacing w:line="276" w:lineRule="auto"/>
        <w:ind w:left="1440"/>
        <w:jc w:val="both"/>
        <w:rPr>
          <w:rFonts w:ascii="Times New Roman" w:hAnsi="Times New Roman" w:cs="Times New Roman"/>
          <w:b/>
          <w:bCs/>
        </w:rPr>
      </w:pPr>
      <w:r w:rsidRPr="007A287D">
        <w:rPr>
          <w:rFonts w:ascii="Times New Roman" w:hAnsi="Times New Roman" w:cs="Times New Roman"/>
          <w:b/>
          <w:bCs/>
          <w:noProof/>
          <w:lang w:val="en-US"/>
        </w:rPr>
        <mc:AlternateContent>
          <mc:Choice Requires="wps">
            <w:drawing>
              <wp:anchor distT="45720" distB="45720" distL="114300" distR="114300" simplePos="0" relativeHeight="251666432" behindDoc="0" locked="0" layoutInCell="1" allowOverlap="1" wp14:anchorId="44DEBA28" wp14:editId="6F9449C1">
                <wp:simplePos x="0" y="0"/>
                <wp:positionH relativeFrom="column">
                  <wp:posOffset>-329565</wp:posOffset>
                </wp:positionH>
                <wp:positionV relativeFrom="page">
                  <wp:posOffset>7576503</wp:posOffset>
                </wp:positionV>
                <wp:extent cx="6974840" cy="1494790"/>
                <wp:effectExtent l="0" t="0" r="16510" b="26670"/>
                <wp:wrapSquare wrapText="bothSides"/>
                <wp:docPr id="686559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494790"/>
                        </a:xfrm>
                        <a:prstGeom prst="rect">
                          <a:avLst/>
                        </a:prstGeom>
                        <a:solidFill>
                          <a:schemeClr val="tx2">
                            <a:lumMod val="20000"/>
                            <a:lumOff val="80000"/>
                          </a:schemeClr>
                        </a:solidFill>
                        <a:ln w="9525">
                          <a:solidFill>
                            <a:srgbClr val="000000"/>
                          </a:solidFill>
                          <a:miter lim="800000"/>
                          <a:headEnd/>
                          <a:tailEnd/>
                        </a:ln>
                      </wps:spPr>
                      <wps:txbx>
                        <w:txbxContent>
                          <w:p w14:paraId="22B9015F" w14:textId="789F0AB7" w:rsidR="007A287D" w:rsidRPr="00AB4E34" w:rsidRDefault="007A287D" w:rsidP="00AB4E34">
                            <w:pPr>
                              <w:pStyle w:val="Default"/>
                              <w:spacing w:after="160"/>
                              <w:jc w:val="both"/>
                              <w:rPr>
                                <w:b/>
                                <w:bCs/>
                                <w:sz w:val="22"/>
                                <w:szCs w:val="22"/>
                              </w:rPr>
                            </w:pPr>
                            <w:r w:rsidRPr="00D36DD4">
                              <w:rPr>
                                <w:b/>
                                <w:bCs/>
                                <w:lang w:val="en-US"/>
                              </w:rPr>
                              <w:t>Key Words:</w:t>
                            </w:r>
                            <w:r w:rsidR="001E5ED7">
                              <w:rPr>
                                <w:b/>
                                <w:bCs/>
                                <w:lang w:val="en-US"/>
                              </w:rPr>
                              <w:t xml:space="preserve"> </w:t>
                            </w:r>
                            <w:r w:rsidR="006E347F" w:rsidRPr="006E347F">
                              <w:rPr>
                                <w:rFonts w:eastAsia="Times New Roman"/>
                                <w:b/>
                                <w:bCs/>
                                <w:i/>
                                <w:iCs/>
                                <w:lang w:eastAsia="en-IN"/>
                              </w:rPr>
                              <w:t xml:space="preserve">Nyāya-sūtra </w:t>
                            </w:r>
                            <w:r w:rsidR="006E347F" w:rsidRPr="006E347F">
                              <w:rPr>
                                <w:b/>
                                <w:bCs/>
                                <w:i/>
                                <w:iCs/>
                                <w:sz w:val="22"/>
                                <w:szCs w:val="22"/>
                              </w:rPr>
                              <w:t xml:space="preserve"> </w:t>
                            </w:r>
                            <w:r w:rsidR="006E347F" w:rsidRPr="006E347F">
                              <w:rPr>
                                <w:b/>
                                <w:bCs/>
                                <w:sz w:val="32"/>
                                <w:szCs w:val="32"/>
                              </w:rPr>
                              <w:t xml:space="preserve">. </w:t>
                            </w:r>
                            <w:r w:rsidR="006E347F" w:rsidRPr="006E347F">
                              <w:rPr>
                                <w:rFonts w:eastAsia="Times New Roman"/>
                                <w:b/>
                                <w:bCs/>
                                <w:i/>
                                <w:iCs/>
                                <w:lang w:eastAsia="en-IN"/>
                              </w:rPr>
                              <w:t xml:space="preserve"> mithyājñāna</w:t>
                            </w:r>
                            <w:r w:rsidR="006E347F" w:rsidRPr="006E347F">
                              <w:rPr>
                                <w:rFonts w:eastAsia="Times New Roman"/>
                                <w:b/>
                                <w:bCs/>
                                <w:lang w:eastAsia="en-IN"/>
                              </w:rPr>
                              <w:t xml:space="preserve"> </w:t>
                            </w:r>
                            <w:r w:rsidR="006E347F" w:rsidRPr="006E347F">
                              <w:rPr>
                                <w:b/>
                                <w:bCs/>
                                <w:i/>
                                <w:iCs/>
                                <w:sz w:val="22"/>
                                <w:szCs w:val="22"/>
                              </w:rPr>
                              <w:t xml:space="preserve"> </w:t>
                            </w:r>
                            <w:r w:rsidR="006E347F" w:rsidRPr="006E347F">
                              <w:rPr>
                                <w:b/>
                                <w:bCs/>
                                <w:sz w:val="32"/>
                                <w:szCs w:val="32"/>
                              </w:rPr>
                              <w:t xml:space="preserve">. </w:t>
                            </w:r>
                            <w:r w:rsidR="006E347F" w:rsidRPr="006E347F">
                              <w:rPr>
                                <w:b/>
                                <w:bCs/>
                                <w:sz w:val="22"/>
                                <w:szCs w:val="22"/>
                              </w:rPr>
                              <w:t xml:space="preserve"> </w:t>
                            </w:r>
                            <w:r w:rsidR="006E347F" w:rsidRPr="006E347F">
                              <w:rPr>
                                <w:rFonts w:eastAsia="Times New Roman"/>
                                <w:b/>
                                <w:bCs/>
                                <w:i/>
                                <w:iCs/>
                                <w:lang w:eastAsia="en-IN"/>
                              </w:rPr>
                              <w:t>niḥśreyasa</w:t>
                            </w:r>
                            <w:r w:rsidR="006E347F" w:rsidRPr="006E347F">
                              <w:rPr>
                                <w:rFonts w:eastAsia="Times New Roman"/>
                                <w:b/>
                                <w:bCs/>
                                <w:lang w:eastAsia="en-IN"/>
                              </w:rPr>
                              <w:t xml:space="preserve"> </w:t>
                            </w:r>
                            <w:r w:rsidR="006E347F" w:rsidRPr="006E347F">
                              <w:rPr>
                                <w:b/>
                                <w:bCs/>
                                <w:i/>
                                <w:iCs/>
                                <w:sz w:val="22"/>
                                <w:szCs w:val="22"/>
                              </w:rPr>
                              <w:t xml:space="preserve"> </w:t>
                            </w:r>
                            <w:r w:rsidR="006E347F" w:rsidRPr="006E347F">
                              <w:rPr>
                                <w:b/>
                                <w:bCs/>
                                <w:sz w:val="32"/>
                                <w:szCs w:val="32"/>
                              </w:rPr>
                              <w:t xml:space="preserve">. </w:t>
                            </w:r>
                            <w:r w:rsidR="006E347F" w:rsidRPr="006E347F">
                              <w:rPr>
                                <w:b/>
                                <w:bCs/>
                                <w:sz w:val="22"/>
                                <w:szCs w:val="22"/>
                              </w:rPr>
                              <w:t xml:space="preserve"> </w:t>
                            </w:r>
                            <w:r w:rsidR="006E347F" w:rsidRPr="006E347F">
                              <w:rPr>
                                <w:b/>
                                <w:bCs/>
                                <w:i/>
                                <w:iCs/>
                              </w:rPr>
                              <w:t>ṣoḍaśa-padārtha</w:t>
                            </w:r>
                            <w:r w:rsidR="006E347F" w:rsidRPr="006E347F">
                              <w:rPr>
                                <w:rFonts w:eastAsia="Times New Roman"/>
                                <w:b/>
                                <w:bCs/>
                                <w:lang w:eastAsia="en-IN"/>
                              </w:rPr>
                              <w:t xml:space="preserve"> </w:t>
                            </w:r>
                            <w:r w:rsidR="006E347F" w:rsidRPr="006E347F">
                              <w:rPr>
                                <w:b/>
                                <w:bCs/>
                                <w:i/>
                                <w:iCs/>
                                <w:sz w:val="22"/>
                                <w:szCs w:val="22"/>
                              </w:rPr>
                              <w:t xml:space="preserve"> </w:t>
                            </w:r>
                            <w:r w:rsidR="006E347F" w:rsidRPr="006E347F">
                              <w:rPr>
                                <w:b/>
                                <w:bCs/>
                                <w:sz w:val="32"/>
                                <w:szCs w:val="32"/>
                              </w:rPr>
                              <w:t xml:space="preserve">. </w:t>
                            </w:r>
                            <w:r w:rsidR="006E347F" w:rsidRPr="006E347F">
                              <w:rPr>
                                <w:b/>
                                <w:bCs/>
                                <w:sz w:val="22"/>
                                <w:szCs w:val="22"/>
                              </w:rPr>
                              <w:t xml:space="preserve"> </w:t>
                            </w:r>
                            <w:r w:rsidR="006E347F" w:rsidRPr="006E347F">
                              <w:rPr>
                                <w:b/>
                                <w:bCs/>
                                <w:i/>
                                <w:iCs/>
                              </w:rPr>
                              <w:t>tattva-jn͂āna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EBA28" id="_x0000_s1028" type="#_x0000_t202" style="position:absolute;left:0;text-align:left;margin-left:-25.95pt;margin-top:596.6pt;width:549.2pt;height:117.7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" fillcolor="#d5dce4 [671]">
                <v:textbox style="mso-fit-shape-to-text:t">
                  <w:txbxContent>
                    <w:p w14:paraId="22B9015F" w14:textId="789F0AB7" w:rsidR="007A287D" w:rsidRPr="00AB4E34" w:rsidRDefault="007A287D" w:rsidP="00AB4E34">
                      <w:pPr>
                        <w:pStyle w:val="Default"/>
                        <w:spacing w:after="160"/>
                        <w:jc w:val="both"/>
                        <w:rPr>
                          <w:b/>
                          <w:bCs/>
                          <w:sz w:val="22"/>
                          <w:szCs w:val="22"/>
                        </w:rPr>
                      </w:pPr>
                      <w:r w:rsidRPr="00D36DD4">
                        <w:rPr>
                          <w:b/>
                          <w:bCs/>
                          <w:lang w:val="en-US"/>
                        </w:rPr>
                        <w:t>Key Words:</w:t>
                      </w:r>
                      <w:r w:rsidR="001E5ED7">
                        <w:rPr>
                          <w:b/>
                          <w:bCs/>
                          <w:lang w:val="en-US"/>
                        </w:rPr>
                        <w:t xml:space="preserve"> </w:t>
                      </w:r>
                      <w:r w:rsidR="006E347F" w:rsidRPr="006E347F">
                        <w:rPr>
                          <w:rFonts w:eastAsia="Times New Roman"/>
                          <w:b/>
                          <w:bCs/>
                          <w:i/>
                          <w:iCs/>
                          <w:lang w:eastAsia="en-IN"/>
                        </w:rPr>
                        <w:t xml:space="preserve">Nyāya-sūtra </w:t>
                      </w:r>
                      <w:r w:rsidR="006E347F" w:rsidRPr="006E347F">
                        <w:rPr>
                          <w:b/>
                          <w:bCs/>
                          <w:i/>
                          <w:iCs/>
                          <w:sz w:val="22"/>
                          <w:szCs w:val="22"/>
                        </w:rPr>
                        <w:t xml:space="preserve"> </w:t>
                      </w:r>
                      <w:r w:rsidR="006E347F" w:rsidRPr="006E347F">
                        <w:rPr>
                          <w:b/>
                          <w:bCs/>
                          <w:sz w:val="32"/>
                          <w:szCs w:val="32"/>
                        </w:rPr>
                        <w:t xml:space="preserve">. </w:t>
                      </w:r>
                      <w:r w:rsidR="006E347F" w:rsidRPr="006E347F">
                        <w:rPr>
                          <w:rFonts w:eastAsia="Times New Roman"/>
                          <w:b/>
                          <w:bCs/>
                          <w:i/>
                          <w:iCs/>
                          <w:lang w:eastAsia="en-IN"/>
                        </w:rPr>
                        <w:t xml:space="preserve"> mithyājñāna</w:t>
                      </w:r>
                      <w:r w:rsidR="006E347F" w:rsidRPr="006E347F">
                        <w:rPr>
                          <w:rFonts w:eastAsia="Times New Roman"/>
                          <w:b/>
                          <w:bCs/>
                          <w:lang w:eastAsia="en-IN"/>
                        </w:rPr>
                        <w:t xml:space="preserve"> </w:t>
                      </w:r>
                      <w:r w:rsidR="006E347F" w:rsidRPr="006E347F">
                        <w:rPr>
                          <w:b/>
                          <w:bCs/>
                          <w:i/>
                          <w:iCs/>
                          <w:sz w:val="22"/>
                          <w:szCs w:val="22"/>
                        </w:rPr>
                        <w:t xml:space="preserve"> </w:t>
                      </w:r>
                      <w:r w:rsidR="006E347F" w:rsidRPr="006E347F">
                        <w:rPr>
                          <w:b/>
                          <w:bCs/>
                          <w:sz w:val="32"/>
                          <w:szCs w:val="32"/>
                        </w:rPr>
                        <w:t xml:space="preserve">. </w:t>
                      </w:r>
                      <w:r w:rsidR="006E347F" w:rsidRPr="006E347F">
                        <w:rPr>
                          <w:b/>
                          <w:bCs/>
                          <w:sz w:val="22"/>
                          <w:szCs w:val="22"/>
                        </w:rPr>
                        <w:t xml:space="preserve"> </w:t>
                      </w:r>
                      <w:r w:rsidR="006E347F" w:rsidRPr="006E347F">
                        <w:rPr>
                          <w:rFonts w:eastAsia="Times New Roman"/>
                          <w:b/>
                          <w:bCs/>
                          <w:i/>
                          <w:iCs/>
                          <w:lang w:eastAsia="en-IN"/>
                        </w:rPr>
                        <w:t>niḥśreyasa</w:t>
                      </w:r>
                      <w:r w:rsidR="006E347F" w:rsidRPr="006E347F">
                        <w:rPr>
                          <w:rFonts w:eastAsia="Times New Roman"/>
                          <w:b/>
                          <w:bCs/>
                          <w:lang w:eastAsia="en-IN"/>
                        </w:rPr>
                        <w:t xml:space="preserve"> </w:t>
                      </w:r>
                      <w:r w:rsidR="006E347F" w:rsidRPr="006E347F">
                        <w:rPr>
                          <w:b/>
                          <w:bCs/>
                          <w:i/>
                          <w:iCs/>
                          <w:sz w:val="22"/>
                          <w:szCs w:val="22"/>
                        </w:rPr>
                        <w:t xml:space="preserve"> </w:t>
                      </w:r>
                      <w:r w:rsidR="006E347F" w:rsidRPr="006E347F">
                        <w:rPr>
                          <w:b/>
                          <w:bCs/>
                          <w:sz w:val="32"/>
                          <w:szCs w:val="32"/>
                        </w:rPr>
                        <w:t xml:space="preserve">. </w:t>
                      </w:r>
                      <w:r w:rsidR="006E347F" w:rsidRPr="006E347F">
                        <w:rPr>
                          <w:b/>
                          <w:bCs/>
                          <w:sz w:val="22"/>
                          <w:szCs w:val="22"/>
                        </w:rPr>
                        <w:t xml:space="preserve"> </w:t>
                      </w:r>
                      <w:r w:rsidR="006E347F" w:rsidRPr="006E347F">
                        <w:rPr>
                          <w:b/>
                          <w:bCs/>
                          <w:i/>
                          <w:iCs/>
                        </w:rPr>
                        <w:t>ṣoḍaśa-padārtha</w:t>
                      </w:r>
                      <w:r w:rsidR="006E347F" w:rsidRPr="006E347F">
                        <w:rPr>
                          <w:rFonts w:eastAsia="Times New Roman"/>
                          <w:b/>
                          <w:bCs/>
                          <w:lang w:eastAsia="en-IN"/>
                        </w:rPr>
                        <w:t xml:space="preserve"> </w:t>
                      </w:r>
                      <w:r w:rsidR="006E347F" w:rsidRPr="006E347F">
                        <w:rPr>
                          <w:b/>
                          <w:bCs/>
                          <w:i/>
                          <w:iCs/>
                          <w:sz w:val="22"/>
                          <w:szCs w:val="22"/>
                        </w:rPr>
                        <w:t xml:space="preserve"> </w:t>
                      </w:r>
                      <w:r w:rsidR="006E347F" w:rsidRPr="006E347F">
                        <w:rPr>
                          <w:b/>
                          <w:bCs/>
                          <w:sz w:val="32"/>
                          <w:szCs w:val="32"/>
                        </w:rPr>
                        <w:t xml:space="preserve">. </w:t>
                      </w:r>
                      <w:r w:rsidR="006E347F" w:rsidRPr="006E347F">
                        <w:rPr>
                          <w:b/>
                          <w:bCs/>
                          <w:sz w:val="22"/>
                          <w:szCs w:val="22"/>
                        </w:rPr>
                        <w:t xml:space="preserve"> </w:t>
                      </w:r>
                      <w:r w:rsidR="006E347F" w:rsidRPr="006E347F">
                        <w:rPr>
                          <w:b/>
                          <w:bCs/>
                          <w:i/>
                          <w:iCs/>
                        </w:rPr>
                        <w:t>tattva-jn͂āna</w:t>
                      </w:r>
                    </w:p>
                  </w:txbxContent>
                </v:textbox>
                <w10:wrap type="square" anchory="page"/>
              </v:shape>
            </w:pict>
          </mc:Fallback>
        </mc:AlternateContent>
      </w:r>
      <w:r w:rsidR="007B7D6E" w:rsidRPr="00F57F77">
        <w:rPr>
          <w:rFonts w:ascii="Times New Roman" w:hAnsi="Times New Roman" w:cs="Times New Roman"/>
          <w:b/>
          <w:bCs/>
          <w:noProof/>
          <w:szCs w:val="24"/>
          <w:lang w:val="en-US"/>
        </w:rPr>
        <w:t>Website:</w:t>
      </w:r>
      <w:r w:rsidR="00C65865">
        <w:rPr>
          <w:rFonts w:ascii="Times New Roman" w:hAnsi="Times New Roman" w:cs="Times New Roman"/>
          <w:b/>
          <w:bCs/>
          <w:noProof/>
          <w:szCs w:val="24"/>
          <w:lang w:val="en-US"/>
        </w:rPr>
        <w:t xml:space="preserve"> </w:t>
      </w:r>
      <w:hyperlink r:id="rId16" w:history="1">
        <w:r w:rsidR="00C32244" w:rsidRPr="009A7294">
          <w:rPr>
            <w:rStyle w:val="Hyperlink"/>
            <w:rFonts w:ascii="Times New Roman" w:hAnsi="Times New Roman" w:cs="Times New Roman"/>
            <w:b/>
            <w:bCs/>
            <w:noProof/>
            <w:szCs w:val="24"/>
            <w:lang w:val="en-US"/>
          </w:rPr>
          <w:t>https://nbpajournal.com</w:t>
        </w:r>
        <w:r w:rsidR="00C32244" w:rsidRPr="009A7294">
          <w:rPr>
            <w:rStyle w:val="Hyperlink"/>
          </w:rPr>
          <w:t>/</w:t>
        </w:r>
      </w:hyperlink>
      <w:r w:rsidR="00C32244">
        <w:t xml:space="preserve"> </w:t>
      </w:r>
      <w:hyperlink r:id="rId17" w:history="1">
        <w:r w:rsidR="00C32244" w:rsidRPr="00C32244">
          <w:rPr>
            <w:rStyle w:val="Hyperlink"/>
            <w:rFonts w:ascii="Times New Roman" w:hAnsi="Times New Roman" w:cs="Times New Roman"/>
            <w:b/>
            <w:bCs/>
          </w:rPr>
          <w:t>https://nbpa.org.in/</w:t>
        </w:r>
      </w:hyperlink>
    </w:p>
    <w:p w14:paraId="0928BB88" w14:textId="76174C93" w:rsidR="00C32244" w:rsidRDefault="00C32244" w:rsidP="00C65865">
      <w:pPr>
        <w:pStyle w:val="NoSpacing"/>
        <w:spacing w:line="480" w:lineRule="auto"/>
        <w:jc w:val="both"/>
        <w:rPr>
          <w:rFonts w:ascii="Times New Roman" w:hAnsi="Times New Roman" w:cs="Times New Roman"/>
          <w:b/>
          <w:bCs/>
          <w:noProof/>
          <w:szCs w:val="24"/>
          <w:lang w:val="en-US"/>
        </w:rPr>
      </w:pPr>
    </w:p>
    <w:p w14:paraId="0A4D27D0" w14:textId="100BE081" w:rsidR="00C65865" w:rsidRPr="00C65865" w:rsidRDefault="00C65865" w:rsidP="00C65865">
      <w:pPr>
        <w:pStyle w:val="NoSpacing"/>
        <w:spacing w:line="480" w:lineRule="auto"/>
        <w:jc w:val="both"/>
        <w:rPr>
          <w:rFonts w:ascii="Times New Roman" w:hAnsi="Times New Roman" w:cs="Times New Roman"/>
          <w:noProof/>
          <w:szCs w:val="24"/>
          <w:lang w:val="en-US"/>
        </w:rPr>
      </w:pPr>
    </w:p>
    <w:p w14:paraId="1ADA91A1" w14:textId="03880CFA" w:rsidR="00AA7307" w:rsidRDefault="00AA7307" w:rsidP="00063158">
      <w:pPr>
        <w:tabs>
          <w:tab w:val="left" w:pos="2786"/>
        </w:tabs>
        <w:jc w:val="both"/>
        <w:rPr>
          <w:rFonts w:ascii="Times New Roman" w:hAnsi="Times New Roman" w:cs="Times New Roman"/>
          <w:lang w:val="en-US"/>
        </w:rPr>
        <w:sectPr w:rsidR="00AA7307" w:rsidSect="00205251">
          <w:footerReference w:type="default" r:id="rId18"/>
          <w:type w:val="continuous"/>
          <w:pgSz w:w="11906" w:h="16838"/>
          <w:pgMar w:top="1440" w:right="1440" w:bottom="1440" w:left="1440" w:header="709" w:footer="709" w:gutter="0"/>
          <w:cols w:space="708"/>
          <w:docGrid w:linePitch="360"/>
        </w:sectPr>
      </w:pPr>
    </w:p>
    <w:p w14:paraId="7FE17BA2" w14:textId="77777777" w:rsidR="00C74DE0" w:rsidRPr="00C74DE0" w:rsidRDefault="00C74DE0" w:rsidP="00C74DE0">
      <w:pPr>
        <w:spacing w:line="360" w:lineRule="auto"/>
        <w:jc w:val="both"/>
        <w:rPr>
          <w:rFonts w:ascii="Times New Roman" w:hAnsi="Times New Roman" w:cs="Times New Roman"/>
          <w:b/>
          <w:szCs w:val="24"/>
        </w:rPr>
      </w:pPr>
      <w:r w:rsidRPr="00C74DE0">
        <w:rPr>
          <w:rFonts w:ascii="Times New Roman" w:hAnsi="Times New Roman" w:cs="Times New Roman"/>
          <w:b/>
          <w:szCs w:val="24"/>
        </w:rPr>
        <w:lastRenderedPageBreak/>
        <w:t>Introduction</w:t>
      </w:r>
    </w:p>
    <w:p w14:paraId="0850F156" w14:textId="5585E742"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 xml:space="preserve">Maharshi Gautama, the founder of </w:t>
      </w:r>
      <w:r w:rsidRPr="00C74DE0">
        <w:rPr>
          <w:rFonts w:ascii="Times New Roman" w:hAnsi="Times New Roman" w:cs="Times New Roman"/>
          <w:iCs/>
          <w:szCs w:val="24"/>
        </w:rPr>
        <w:t>Nyāya</w:t>
      </w:r>
      <w:r w:rsidRPr="00C74DE0">
        <w:rPr>
          <w:rFonts w:ascii="Times New Roman" w:hAnsi="Times New Roman" w:cs="Times New Roman"/>
          <w:szCs w:val="24"/>
        </w:rPr>
        <w:t xml:space="preserve"> philosophy in his </w:t>
      </w:r>
      <w:r w:rsidRPr="00C74DE0">
        <w:rPr>
          <w:rFonts w:ascii="Times New Roman" w:hAnsi="Times New Roman" w:cs="Times New Roman"/>
          <w:i/>
          <w:szCs w:val="24"/>
        </w:rPr>
        <w:t>Nyāya-sūtra</w:t>
      </w:r>
      <w:r>
        <w:rPr>
          <w:rFonts w:ascii="Times New Roman" w:hAnsi="Times New Roman" w:cs="Times New Roman"/>
          <w:i/>
          <w:szCs w:val="24"/>
        </w:rPr>
        <w:t>,</w:t>
      </w:r>
      <w:r w:rsidRPr="00C74DE0">
        <w:rPr>
          <w:rFonts w:ascii="Times New Roman" w:hAnsi="Times New Roman" w:cs="Times New Roman"/>
          <w:i/>
          <w:szCs w:val="24"/>
        </w:rPr>
        <w:t xml:space="preserve"> </w:t>
      </w:r>
      <w:r w:rsidRPr="00C74DE0">
        <w:rPr>
          <w:rFonts w:ascii="Times New Roman" w:hAnsi="Times New Roman" w:cs="Times New Roman"/>
          <w:szCs w:val="24"/>
        </w:rPr>
        <w:t xml:space="preserve">provided a way of attaining liberation or </w:t>
      </w:r>
      <w:r w:rsidRPr="00C74DE0">
        <w:rPr>
          <w:rFonts w:ascii="Times New Roman" w:hAnsi="Times New Roman" w:cs="Times New Roman"/>
          <w:i/>
          <w:szCs w:val="24"/>
        </w:rPr>
        <w:t>niḥśreyasa</w:t>
      </w:r>
      <w:r w:rsidRPr="00C74DE0">
        <w:rPr>
          <w:rFonts w:ascii="Times New Roman" w:hAnsi="Times New Roman" w:cs="Times New Roman"/>
          <w:szCs w:val="24"/>
        </w:rPr>
        <w:t xml:space="preserve">. We would take an exposition of the concept of the sixteen categories given by Gautama in detail to understand the dynamism of Nyāya's </w:t>
      </w:r>
      <w:r w:rsidRPr="00C74DE0">
        <w:rPr>
          <w:rFonts w:ascii="Times New Roman" w:hAnsi="Times New Roman" w:cs="Times New Roman"/>
          <w:iCs/>
          <w:szCs w:val="24"/>
        </w:rPr>
        <w:t>understanding of knowledge</w:t>
      </w:r>
      <w:r w:rsidRPr="00C74DE0">
        <w:rPr>
          <w:rFonts w:ascii="Times New Roman" w:hAnsi="Times New Roman" w:cs="Times New Roman"/>
          <w:szCs w:val="24"/>
        </w:rPr>
        <w:t xml:space="preserve">. He states that the knowledge of categories leads to the ultimate good. Gautama tried to identify the reason behind birth, death, and suffering in his </w:t>
      </w:r>
      <w:r w:rsidRPr="00C74DE0">
        <w:rPr>
          <w:rFonts w:ascii="Times New Roman" w:eastAsia="Times New Roman" w:hAnsi="Times New Roman" w:cs="Times New Roman"/>
          <w:i/>
          <w:iCs/>
          <w:szCs w:val="24"/>
          <w:lang w:eastAsia="en-IN"/>
        </w:rPr>
        <w:t>Nyāya-sūtra</w:t>
      </w:r>
      <w:r w:rsidRPr="00C74DE0">
        <w:rPr>
          <w:rFonts w:ascii="Times New Roman" w:eastAsia="Times New Roman" w:hAnsi="Times New Roman" w:cs="Times New Roman"/>
          <w:szCs w:val="24"/>
          <w:lang w:eastAsia="en-IN"/>
        </w:rPr>
        <w:t>-1.1.2</w:t>
      </w:r>
      <w:r w:rsidRPr="00C74DE0">
        <w:rPr>
          <w:rFonts w:ascii="Times New Roman" w:hAnsi="Times New Roman" w:cs="Times New Roman"/>
          <w:szCs w:val="24"/>
        </w:rPr>
        <w:t xml:space="preserve">. The goal of </w:t>
      </w:r>
      <w:r w:rsidRPr="00C74DE0">
        <w:rPr>
          <w:rFonts w:ascii="Times New Roman" w:eastAsia="Times New Roman" w:hAnsi="Times New Roman" w:cs="Times New Roman"/>
          <w:i/>
          <w:iCs/>
          <w:szCs w:val="24"/>
          <w:lang w:eastAsia="en-IN"/>
        </w:rPr>
        <w:t>Nyāya</w:t>
      </w:r>
      <w:r w:rsidRPr="00C74DE0">
        <w:rPr>
          <w:rFonts w:ascii="Times New Roman" w:hAnsi="Times New Roman" w:cs="Times New Roman"/>
          <w:szCs w:val="24"/>
        </w:rPr>
        <w:t xml:space="preserve"> philosophy is to enable us to attain the highest goal of life, which is liberation from suffering. According to the </w:t>
      </w:r>
      <w:r w:rsidRPr="00C74DE0">
        <w:rPr>
          <w:rFonts w:ascii="Times New Roman" w:hAnsi="Times New Roman" w:cs="Times New Roman"/>
          <w:iCs/>
          <w:szCs w:val="24"/>
        </w:rPr>
        <w:t>Naiyāyikas,</w:t>
      </w:r>
      <w:r w:rsidRPr="00C74DE0">
        <w:rPr>
          <w:rFonts w:ascii="Times New Roman" w:hAnsi="Times New Roman" w:cs="Times New Roman"/>
          <w:szCs w:val="24"/>
        </w:rPr>
        <w:t xml:space="preserve"> the world presents itself as a chain of consequences that needs to be broken in order to attain liberation from suffering. This is the chain through which one has to pass, i.e.</w:t>
      </w:r>
      <w:r>
        <w:rPr>
          <w:rFonts w:ascii="Times New Roman" w:hAnsi="Times New Roman" w:cs="Times New Roman"/>
          <w:szCs w:val="24"/>
        </w:rPr>
        <w:t>,</w:t>
      </w:r>
      <w:r w:rsidRPr="00C74DE0">
        <w:rPr>
          <w:rFonts w:ascii="Times New Roman" w:hAnsi="Times New Roman" w:cs="Times New Roman"/>
          <w:szCs w:val="24"/>
        </w:rPr>
        <w:t xml:space="preserve"> Misapprehension (</w:t>
      </w:r>
      <w:r w:rsidRPr="00C74DE0">
        <w:rPr>
          <w:rFonts w:ascii="Times New Roman" w:hAnsi="Times New Roman" w:cs="Times New Roman"/>
          <w:i/>
          <w:szCs w:val="24"/>
        </w:rPr>
        <w:t>ajn͂āna</w:t>
      </w:r>
      <w:r w:rsidRPr="00C74DE0">
        <w:rPr>
          <w:rFonts w:ascii="Times New Roman" w:hAnsi="Times New Roman" w:cs="Times New Roman"/>
          <w:szCs w:val="24"/>
        </w:rPr>
        <w:t>) to Imbalance (</w:t>
      </w:r>
      <w:r w:rsidRPr="00C74DE0">
        <w:rPr>
          <w:rFonts w:ascii="Times New Roman" w:hAnsi="Times New Roman" w:cs="Times New Roman"/>
          <w:i/>
          <w:szCs w:val="24"/>
        </w:rPr>
        <w:t>doṣa</w:t>
      </w:r>
      <w:r w:rsidRPr="00C74DE0">
        <w:rPr>
          <w:rFonts w:ascii="Times New Roman" w:hAnsi="Times New Roman" w:cs="Times New Roman"/>
          <w:szCs w:val="24"/>
        </w:rPr>
        <w:t>) to Activity (</w:t>
      </w:r>
      <w:r w:rsidRPr="00C74DE0">
        <w:rPr>
          <w:rFonts w:ascii="Times New Roman" w:hAnsi="Times New Roman" w:cs="Times New Roman"/>
          <w:i/>
          <w:szCs w:val="24"/>
        </w:rPr>
        <w:t>karma</w:t>
      </w:r>
      <w:r w:rsidRPr="00C74DE0">
        <w:rPr>
          <w:rFonts w:ascii="Times New Roman" w:hAnsi="Times New Roman" w:cs="Times New Roman"/>
          <w:szCs w:val="24"/>
        </w:rPr>
        <w:t>) to Rebirth (</w:t>
      </w:r>
      <w:r w:rsidRPr="00C74DE0">
        <w:rPr>
          <w:rFonts w:ascii="Times New Roman" w:hAnsi="Times New Roman" w:cs="Times New Roman"/>
          <w:i/>
          <w:szCs w:val="24"/>
        </w:rPr>
        <w:t>janma</w:t>
      </w:r>
      <w:r w:rsidRPr="00C74DE0">
        <w:rPr>
          <w:rFonts w:ascii="Times New Roman" w:hAnsi="Times New Roman" w:cs="Times New Roman"/>
          <w:szCs w:val="24"/>
        </w:rPr>
        <w:t>) and finally to Suffering (</w:t>
      </w:r>
      <w:r w:rsidRPr="00C74DE0">
        <w:rPr>
          <w:rFonts w:ascii="Times New Roman" w:hAnsi="Times New Roman" w:cs="Times New Roman"/>
          <w:i/>
          <w:szCs w:val="24"/>
        </w:rPr>
        <w:t>duḥkha</w:t>
      </w:r>
      <w:r w:rsidRPr="00C74DE0">
        <w:rPr>
          <w:rFonts w:ascii="Times New Roman" w:hAnsi="Times New Roman" w:cs="Times New Roman"/>
          <w:szCs w:val="24"/>
        </w:rPr>
        <w:t xml:space="preserve">). One can break the chain in the same sequence, though this is not the only concern of </w:t>
      </w:r>
      <w:r w:rsidRPr="00C74DE0">
        <w:rPr>
          <w:rFonts w:ascii="Times New Roman" w:hAnsi="Times New Roman" w:cs="Times New Roman"/>
          <w:iCs/>
          <w:szCs w:val="24"/>
        </w:rPr>
        <w:t>Nyāya</w:t>
      </w:r>
      <w:r w:rsidRPr="00C74DE0">
        <w:rPr>
          <w:rFonts w:ascii="Times New Roman" w:hAnsi="Times New Roman" w:cs="Times New Roman"/>
          <w:szCs w:val="24"/>
        </w:rPr>
        <w:t xml:space="preserve"> philosophy. </w:t>
      </w:r>
    </w:p>
    <w:p w14:paraId="244730E8" w14:textId="77777777"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 xml:space="preserve">Vātsāyana gave an introduction at the very beginning of the commentary regarding </w:t>
      </w:r>
      <w:r w:rsidRPr="00C74DE0">
        <w:rPr>
          <w:rFonts w:ascii="Times New Roman" w:hAnsi="Times New Roman" w:cs="Times New Roman"/>
          <w:i/>
          <w:szCs w:val="24"/>
        </w:rPr>
        <w:t xml:space="preserve">Nyāya-sūtra </w:t>
      </w:r>
      <w:r w:rsidRPr="00C74DE0">
        <w:rPr>
          <w:rFonts w:ascii="Times New Roman" w:hAnsi="Times New Roman" w:cs="Times New Roman"/>
          <w:szCs w:val="24"/>
        </w:rPr>
        <w:t>to define a successful activity, i.e.</w:t>
      </w:r>
    </w:p>
    <w:p w14:paraId="5A2C04C1" w14:textId="77777777" w:rsidR="00C74DE0" w:rsidRPr="00C74DE0" w:rsidRDefault="00C74DE0" w:rsidP="00C74DE0">
      <w:pPr>
        <w:spacing w:line="360" w:lineRule="auto"/>
        <w:ind w:left="2160"/>
        <w:jc w:val="both"/>
        <w:rPr>
          <w:rFonts w:ascii="Times New Roman" w:hAnsi="Times New Roman" w:cs="Times New Roman"/>
          <w:i/>
          <w:szCs w:val="24"/>
        </w:rPr>
      </w:pPr>
      <w:r w:rsidRPr="00C74DE0">
        <w:rPr>
          <w:rFonts w:ascii="Times New Roman" w:hAnsi="Times New Roman" w:cs="Times New Roman"/>
          <w:i/>
          <w:szCs w:val="24"/>
        </w:rPr>
        <w:t>Pramānato-artha-pratipattoh</w:t>
      </w:r>
    </w:p>
    <w:p w14:paraId="65BF3D19" w14:textId="77777777" w:rsidR="00C74DE0" w:rsidRPr="00C74DE0" w:rsidRDefault="00C74DE0" w:rsidP="00C74DE0">
      <w:pPr>
        <w:spacing w:line="360" w:lineRule="auto"/>
        <w:ind w:left="2160"/>
        <w:jc w:val="both"/>
        <w:rPr>
          <w:rFonts w:ascii="Times New Roman" w:hAnsi="Times New Roman" w:cs="Times New Roman"/>
          <w:szCs w:val="24"/>
        </w:rPr>
      </w:pPr>
      <w:r w:rsidRPr="00C74DE0">
        <w:rPr>
          <w:rFonts w:ascii="Times New Roman" w:hAnsi="Times New Roman" w:cs="Times New Roman"/>
          <w:i/>
          <w:szCs w:val="24"/>
        </w:rPr>
        <w:t>Pravṛitti-sāmartha-arthavat-pramāṇam</w:t>
      </w:r>
      <w:r w:rsidRPr="00C74DE0">
        <w:rPr>
          <w:rFonts w:ascii="Times New Roman" w:hAnsi="Times New Roman" w:cs="Times New Roman"/>
          <w:szCs w:val="24"/>
        </w:rPr>
        <w:t>. (</w:t>
      </w:r>
      <w:r w:rsidRPr="00C74DE0">
        <w:rPr>
          <w:rFonts w:ascii="Times New Roman" w:hAnsi="Times New Roman" w:cs="Times New Roman"/>
          <w:i/>
          <w:iCs/>
          <w:szCs w:val="24"/>
        </w:rPr>
        <w:t>Tarkavāgīśa</w:t>
      </w:r>
      <w:r w:rsidRPr="00C74DE0">
        <w:rPr>
          <w:rFonts w:ascii="Times New Roman" w:hAnsi="Times New Roman" w:cs="Times New Roman"/>
          <w:szCs w:val="24"/>
        </w:rPr>
        <w:t>, 1981, p. 1)</w:t>
      </w:r>
    </w:p>
    <w:p w14:paraId="7497D1E1" w14:textId="63D98B89"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 xml:space="preserve"> According to him, every successful activity is cognised by the ‘instrument of valid knowledge’ (</w:t>
      </w:r>
      <w:r w:rsidRPr="00C74DE0">
        <w:rPr>
          <w:rFonts w:ascii="Times New Roman" w:hAnsi="Times New Roman" w:cs="Times New Roman"/>
          <w:i/>
          <w:szCs w:val="24"/>
        </w:rPr>
        <w:t>Pramāṇa</w:t>
      </w:r>
      <w:r w:rsidRPr="00C74DE0">
        <w:rPr>
          <w:rFonts w:ascii="Times New Roman" w:hAnsi="Times New Roman" w:cs="Times New Roman"/>
          <w:szCs w:val="24"/>
        </w:rPr>
        <w:t xml:space="preserve">). Hence, the instrument of valid knowledge is invariably connected with the cognised object. Without having the instrument of true knowledge, it is impossible to have the cognition of an object, and without having the cognition of an object, it is impossible to have any successful activity. And with the help of an instrument of valid knowledge, the knower decides to get an object or to avoid it. The effort of getting or avoiding a particular object depends on the result because it is up to the person to decide how much is necessary for </w:t>
      </w:r>
      <w:r w:rsidR="005D5005">
        <w:rPr>
          <w:rFonts w:ascii="Times New Roman" w:hAnsi="Times New Roman" w:cs="Times New Roman"/>
          <w:szCs w:val="24"/>
        </w:rPr>
        <w:t>them</w:t>
      </w:r>
      <w:r w:rsidRPr="00C74DE0">
        <w:rPr>
          <w:rFonts w:ascii="Times New Roman" w:hAnsi="Times New Roman" w:cs="Times New Roman"/>
          <w:szCs w:val="24"/>
        </w:rPr>
        <w:t>. Vātsyāyana mentions the context of the desire to get or avoid a particular object as the only cause of human suffering. However, for an existing human being, it is necessary to be desirous about getting or avoiding a particular object. Therefore, getting an object is supposed to be a pleasure (</w:t>
      </w:r>
      <w:r w:rsidRPr="00C74DE0">
        <w:rPr>
          <w:rFonts w:ascii="Times New Roman" w:hAnsi="Times New Roman" w:cs="Times New Roman"/>
          <w:i/>
          <w:szCs w:val="24"/>
        </w:rPr>
        <w:t>sukha</w:t>
      </w:r>
      <w:r w:rsidRPr="00C74DE0">
        <w:rPr>
          <w:rFonts w:ascii="Times New Roman" w:hAnsi="Times New Roman" w:cs="Times New Roman"/>
          <w:szCs w:val="24"/>
        </w:rPr>
        <w:t>), but the final effect in the long run is suffering (</w:t>
      </w:r>
      <w:r w:rsidRPr="00C74DE0">
        <w:rPr>
          <w:rFonts w:ascii="Times New Roman" w:hAnsi="Times New Roman" w:cs="Times New Roman"/>
          <w:i/>
          <w:szCs w:val="24"/>
        </w:rPr>
        <w:t>duḥkha</w:t>
      </w:r>
      <w:r w:rsidRPr="00C74DE0">
        <w:rPr>
          <w:rFonts w:ascii="Times New Roman" w:hAnsi="Times New Roman" w:cs="Times New Roman"/>
          <w:szCs w:val="24"/>
        </w:rPr>
        <w:t>). However, without desire, one cannot perform an activity. An activity is performed by a person only when he knows the nature of an object as it exists. For this reason, every object is known through a valid source (</w:t>
      </w:r>
      <w:bookmarkStart w:id="2" w:name="_Hlk209621225"/>
      <w:r w:rsidRPr="00C74DE0">
        <w:rPr>
          <w:rFonts w:ascii="Times New Roman" w:hAnsi="Times New Roman" w:cs="Times New Roman"/>
          <w:i/>
          <w:szCs w:val="24"/>
        </w:rPr>
        <w:t>pramāṇa</w:t>
      </w:r>
      <w:bookmarkEnd w:id="2"/>
      <w:r w:rsidRPr="00C74DE0">
        <w:rPr>
          <w:rFonts w:ascii="Times New Roman" w:hAnsi="Times New Roman" w:cs="Times New Roman"/>
          <w:szCs w:val="24"/>
        </w:rPr>
        <w:t xml:space="preserve">); hence, objects of </w:t>
      </w:r>
      <w:r w:rsidRPr="00C74DE0">
        <w:rPr>
          <w:rFonts w:ascii="Times New Roman" w:hAnsi="Times New Roman" w:cs="Times New Roman"/>
          <w:i/>
          <w:szCs w:val="24"/>
        </w:rPr>
        <w:lastRenderedPageBreak/>
        <w:t>pramāṇa</w:t>
      </w:r>
      <w:r w:rsidRPr="00C74DE0">
        <w:rPr>
          <w:rFonts w:ascii="Times New Roman" w:hAnsi="Times New Roman" w:cs="Times New Roman"/>
          <w:szCs w:val="24"/>
        </w:rPr>
        <w:t xml:space="preserve"> are innumerable. We know that acquiring knowledge of an object depends on various sources. This is one of the reasons for </w:t>
      </w:r>
      <w:r w:rsidR="00F871C1">
        <w:rPr>
          <w:rFonts w:ascii="Times New Roman" w:hAnsi="Times New Roman" w:cs="Times New Roman"/>
          <w:szCs w:val="24"/>
        </w:rPr>
        <w:t>why</w:t>
      </w:r>
      <w:r w:rsidRPr="00C74DE0">
        <w:rPr>
          <w:rFonts w:ascii="Times New Roman" w:hAnsi="Times New Roman" w:cs="Times New Roman"/>
          <w:szCs w:val="24"/>
        </w:rPr>
        <w:t xml:space="preserve"> we would see all schools of Indian philosophy accept various sources of valid knowledge. In the </w:t>
      </w:r>
      <w:r w:rsidRPr="00C74DE0">
        <w:rPr>
          <w:rFonts w:ascii="Times New Roman" w:hAnsi="Times New Roman" w:cs="Times New Roman"/>
          <w:iCs/>
          <w:szCs w:val="24"/>
        </w:rPr>
        <w:t xml:space="preserve">Nyāya </w:t>
      </w:r>
      <w:r w:rsidRPr="00C74DE0">
        <w:rPr>
          <w:rFonts w:ascii="Times New Roman" w:hAnsi="Times New Roman" w:cs="Times New Roman"/>
          <w:szCs w:val="24"/>
        </w:rPr>
        <w:t xml:space="preserve">system, </w:t>
      </w:r>
      <w:r w:rsidRPr="00C74DE0">
        <w:rPr>
          <w:rFonts w:ascii="Times New Roman" w:hAnsi="Times New Roman" w:cs="Times New Roman"/>
          <w:iCs/>
          <w:szCs w:val="24"/>
        </w:rPr>
        <w:t xml:space="preserve">Naiyāyikas </w:t>
      </w:r>
      <w:r w:rsidRPr="00C74DE0">
        <w:rPr>
          <w:rFonts w:ascii="Times New Roman" w:hAnsi="Times New Roman" w:cs="Times New Roman"/>
          <w:szCs w:val="24"/>
        </w:rPr>
        <w:t xml:space="preserve">accepted four </w:t>
      </w:r>
      <w:r w:rsidRPr="00C74DE0">
        <w:rPr>
          <w:rFonts w:ascii="Times New Roman" w:hAnsi="Times New Roman" w:cs="Times New Roman"/>
          <w:i/>
          <w:szCs w:val="24"/>
        </w:rPr>
        <w:t>pramāṇa</w:t>
      </w:r>
      <w:r w:rsidRPr="00C74DE0">
        <w:rPr>
          <w:rFonts w:ascii="Times New Roman" w:hAnsi="Times New Roman" w:cs="Times New Roman"/>
          <w:i/>
          <w:iCs/>
          <w:szCs w:val="24"/>
        </w:rPr>
        <w:t>s</w:t>
      </w:r>
      <w:r w:rsidRPr="00C74DE0">
        <w:rPr>
          <w:rFonts w:ascii="Times New Roman" w:hAnsi="Times New Roman" w:cs="Times New Roman"/>
          <w:szCs w:val="24"/>
        </w:rPr>
        <w:t xml:space="preserve"> (i.e.</w:t>
      </w:r>
      <w:r w:rsidR="00407531">
        <w:rPr>
          <w:rFonts w:ascii="Times New Roman" w:hAnsi="Times New Roman" w:cs="Times New Roman"/>
          <w:szCs w:val="24"/>
        </w:rPr>
        <w:t>,</w:t>
      </w:r>
      <w:r w:rsidRPr="00C74DE0">
        <w:rPr>
          <w:rFonts w:ascii="Times New Roman" w:hAnsi="Times New Roman" w:cs="Times New Roman"/>
          <w:szCs w:val="24"/>
        </w:rPr>
        <w:t xml:space="preserve"> </w:t>
      </w:r>
      <w:r w:rsidRPr="00C74DE0">
        <w:rPr>
          <w:rFonts w:ascii="Times New Roman" w:hAnsi="Times New Roman" w:cs="Times New Roman"/>
          <w:i/>
          <w:szCs w:val="24"/>
        </w:rPr>
        <w:t xml:space="preserve">pratyaksa, anumāna, upamāna, </w:t>
      </w:r>
      <w:r w:rsidRPr="00C74DE0">
        <w:rPr>
          <w:rFonts w:ascii="Times New Roman" w:hAnsi="Times New Roman" w:cs="Times New Roman"/>
          <w:szCs w:val="24"/>
        </w:rPr>
        <w:t>and</w:t>
      </w:r>
      <w:r w:rsidRPr="00C74DE0">
        <w:rPr>
          <w:rFonts w:ascii="Times New Roman" w:hAnsi="Times New Roman" w:cs="Times New Roman"/>
          <w:i/>
          <w:szCs w:val="24"/>
        </w:rPr>
        <w:t xml:space="preserve"> śabda</w:t>
      </w:r>
      <w:r w:rsidRPr="00C74DE0">
        <w:rPr>
          <w:rFonts w:ascii="Times New Roman" w:hAnsi="Times New Roman" w:cs="Times New Roman"/>
          <w:szCs w:val="24"/>
        </w:rPr>
        <w:t>) through which one can get the true cognition of an object.</w:t>
      </w:r>
    </w:p>
    <w:p w14:paraId="7F5B90DB" w14:textId="332CB26A"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 xml:space="preserve">Since </w:t>
      </w:r>
      <w:r w:rsidRPr="00C74DE0">
        <w:rPr>
          <w:rFonts w:ascii="Times New Roman" w:hAnsi="Times New Roman" w:cs="Times New Roman"/>
          <w:i/>
          <w:szCs w:val="24"/>
        </w:rPr>
        <w:t>pramāṇa</w:t>
      </w:r>
      <w:r w:rsidRPr="00C74DE0">
        <w:rPr>
          <w:rFonts w:ascii="Times New Roman" w:hAnsi="Times New Roman" w:cs="Times New Roman"/>
          <w:szCs w:val="24"/>
        </w:rPr>
        <w:t xml:space="preserve"> is invariably related to the object, </w:t>
      </w:r>
      <w:r w:rsidRPr="00C74DE0">
        <w:rPr>
          <w:rFonts w:ascii="Times New Roman" w:hAnsi="Times New Roman" w:cs="Times New Roman"/>
          <w:i/>
          <w:szCs w:val="24"/>
        </w:rPr>
        <w:t>pramātṛ, prameya</w:t>
      </w:r>
      <w:r w:rsidRPr="00C74DE0">
        <w:rPr>
          <w:rFonts w:ascii="Times New Roman" w:hAnsi="Times New Roman" w:cs="Times New Roman"/>
          <w:szCs w:val="24"/>
        </w:rPr>
        <w:t xml:space="preserve">, and </w:t>
      </w:r>
      <w:bookmarkStart w:id="3" w:name="_Hlk209626170"/>
      <w:r w:rsidRPr="00C74DE0">
        <w:rPr>
          <w:rFonts w:ascii="Times New Roman" w:hAnsi="Times New Roman" w:cs="Times New Roman"/>
          <w:i/>
          <w:iCs/>
          <w:szCs w:val="24"/>
        </w:rPr>
        <w:t>p</w:t>
      </w:r>
      <w:bookmarkEnd w:id="3"/>
      <w:r w:rsidRPr="00C74DE0">
        <w:rPr>
          <w:rFonts w:ascii="Times New Roman" w:hAnsi="Times New Roman" w:cs="Times New Roman"/>
          <w:i/>
          <w:iCs/>
          <w:szCs w:val="24"/>
        </w:rPr>
        <w:t>ramiti</w:t>
      </w:r>
      <w:r w:rsidRPr="00C74DE0">
        <w:rPr>
          <w:rFonts w:ascii="Times New Roman" w:hAnsi="Times New Roman" w:cs="Times New Roman"/>
          <w:szCs w:val="24"/>
        </w:rPr>
        <w:t xml:space="preserve"> are also related in the same way to the object that a person desires. Let us know how these are related. </w:t>
      </w:r>
      <w:bookmarkStart w:id="4" w:name="_Hlk209626151"/>
      <w:r w:rsidRPr="00C74DE0">
        <w:rPr>
          <w:rFonts w:ascii="Times New Roman" w:hAnsi="Times New Roman" w:cs="Times New Roman"/>
          <w:i/>
          <w:szCs w:val="24"/>
        </w:rPr>
        <w:t>Pramāṇa</w:t>
      </w:r>
      <w:r w:rsidRPr="00C74DE0">
        <w:rPr>
          <w:rFonts w:ascii="Times New Roman" w:hAnsi="Times New Roman" w:cs="Times New Roman"/>
          <w:szCs w:val="24"/>
        </w:rPr>
        <w:t xml:space="preserve"> </w:t>
      </w:r>
      <w:bookmarkEnd w:id="4"/>
      <w:r w:rsidRPr="00C74DE0">
        <w:rPr>
          <w:rFonts w:ascii="Times New Roman" w:hAnsi="Times New Roman" w:cs="Times New Roman"/>
          <w:szCs w:val="24"/>
        </w:rPr>
        <w:t xml:space="preserve">is a valid source of knowledge. </w:t>
      </w:r>
      <w:r w:rsidRPr="00C74DE0">
        <w:rPr>
          <w:rFonts w:ascii="Times New Roman" w:hAnsi="Times New Roman" w:cs="Times New Roman"/>
          <w:i/>
          <w:szCs w:val="24"/>
        </w:rPr>
        <w:t xml:space="preserve">Prāmatṛ </w:t>
      </w:r>
      <w:r w:rsidRPr="00C74DE0">
        <w:rPr>
          <w:rFonts w:ascii="Times New Roman" w:hAnsi="Times New Roman" w:cs="Times New Roman"/>
          <w:szCs w:val="24"/>
        </w:rPr>
        <w:t xml:space="preserve">is cognised by the person who is guided by the desire to seek or ignore the object, which leads to activity. Therefore, </w:t>
      </w:r>
      <w:bookmarkStart w:id="5" w:name="_Hlk209626277"/>
      <w:r w:rsidRPr="00C74DE0">
        <w:rPr>
          <w:rFonts w:ascii="Times New Roman" w:hAnsi="Times New Roman" w:cs="Times New Roman"/>
          <w:i/>
          <w:iCs/>
          <w:szCs w:val="24"/>
        </w:rPr>
        <w:t>p</w:t>
      </w:r>
      <w:r w:rsidRPr="00C74DE0">
        <w:rPr>
          <w:rFonts w:ascii="Times New Roman" w:hAnsi="Times New Roman" w:cs="Times New Roman"/>
          <w:i/>
          <w:szCs w:val="24"/>
        </w:rPr>
        <w:t>ramāṇa</w:t>
      </w:r>
      <w:bookmarkEnd w:id="5"/>
      <w:r w:rsidRPr="00C74DE0">
        <w:rPr>
          <w:rFonts w:ascii="Times New Roman" w:hAnsi="Times New Roman" w:cs="Times New Roman"/>
          <w:szCs w:val="24"/>
        </w:rPr>
        <w:t xml:space="preserve"> is the instrument through which the knower (</w:t>
      </w:r>
      <w:r w:rsidRPr="00C74DE0">
        <w:rPr>
          <w:rFonts w:ascii="Times New Roman" w:hAnsi="Times New Roman" w:cs="Times New Roman"/>
          <w:i/>
          <w:szCs w:val="24"/>
        </w:rPr>
        <w:t>pramātṛ</w:t>
      </w:r>
      <w:r w:rsidRPr="00C74DE0">
        <w:rPr>
          <w:rFonts w:ascii="Times New Roman" w:hAnsi="Times New Roman" w:cs="Times New Roman"/>
          <w:szCs w:val="24"/>
        </w:rPr>
        <w:t xml:space="preserve">) rightly knows the object. </w:t>
      </w:r>
      <w:r w:rsidRPr="00C74DE0">
        <w:rPr>
          <w:rFonts w:ascii="Times New Roman" w:hAnsi="Times New Roman" w:cs="Times New Roman"/>
          <w:i/>
          <w:szCs w:val="24"/>
        </w:rPr>
        <w:t>Prameya</w:t>
      </w:r>
      <w:r w:rsidRPr="00C74DE0">
        <w:rPr>
          <w:rFonts w:ascii="Times New Roman" w:hAnsi="Times New Roman" w:cs="Times New Roman"/>
          <w:szCs w:val="24"/>
        </w:rPr>
        <w:t xml:space="preserve"> is the object of valid knowledge. </w:t>
      </w:r>
      <w:r w:rsidRPr="00C74DE0">
        <w:rPr>
          <w:rFonts w:ascii="Times New Roman" w:hAnsi="Times New Roman" w:cs="Times New Roman"/>
          <w:i/>
          <w:szCs w:val="24"/>
        </w:rPr>
        <w:t>Pramiti</w:t>
      </w:r>
      <w:r w:rsidRPr="00C74DE0">
        <w:rPr>
          <w:rFonts w:ascii="Times New Roman" w:hAnsi="Times New Roman" w:cs="Times New Roman"/>
          <w:szCs w:val="24"/>
        </w:rPr>
        <w:t xml:space="preserve"> </w:t>
      </w:r>
      <w:r>
        <w:rPr>
          <w:rFonts w:ascii="Times New Roman" w:hAnsi="Times New Roman" w:cs="Times New Roman"/>
          <w:szCs w:val="24"/>
        </w:rPr>
        <w:t>has</w:t>
      </w:r>
      <w:r w:rsidRPr="00C74DE0">
        <w:rPr>
          <w:rFonts w:ascii="Times New Roman" w:hAnsi="Times New Roman" w:cs="Times New Roman"/>
          <w:szCs w:val="24"/>
        </w:rPr>
        <w:t xml:space="preserve"> the right knowledge of the object. With these four </w:t>
      </w:r>
      <w:r w:rsidRPr="00C74DE0">
        <w:rPr>
          <w:rFonts w:ascii="Times New Roman" w:hAnsi="Times New Roman" w:cs="Times New Roman"/>
          <w:i/>
          <w:szCs w:val="24"/>
        </w:rPr>
        <w:t>tattvas</w:t>
      </w:r>
      <w:r>
        <w:rPr>
          <w:rFonts w:ascii="Times New Roman" w:hAnsi="Times New Roman" w:cs="Times New Roman"/>
          <w:i/>
          <w:szCs w:val="24"/>
        </w:rPr>
        <w:t>,</w:t>
      </w:r>
      <w:r w:rsidRPr="00C74DE0">
        <w:rPr>
          <w:rFonts w:ascii="Times New Roman" w:hAnsi="Times New Roman" w:cs="Times New Roman"/>
          <w:szCs w:val="24"/>
        </w:rPr>
        <w:t xml:space="preserve"> one can arrive at one’s desire. If an object is known as positive, then a person must know that object without any contradiction. Then, it becomes </w:t>
      </w:r>
      <w:r w:rsidRPr="00C74DE0">
        <w:rPr>
          <w:rFonts w:ascii="Times New Roman" w:hAnsi="Times New Roman" w:cs="Times New Roman"/>
          <w:i/>
          <w:szCs w:val="24"/>
        </w:rPr>
        <w:t>tattva</w:t>
      </w:r>
      <w:r w:rsidRPr="00C74DE0">
        <w:rPr>
          <w:rFonts w:ascii="Times New Roman" w:hAnsi="Times New Roman" w:cs="Times New Roman"/>
          <w:iCs/>
          <w:szCs w:val="24"/>
        </w:rPr>
        <w:t>,</w:t>
      </w:r>
      <w:r w:rsidRPr="00C74DE0">
        <w:rPr>
          <w:rFonts w:ascii="Times New Roman" w:hAnsi="Times New Roman" w:cs="Times New Roman"/>
          <w:i/>
          <w:szCs w:val="24"/>
        </w:rPr>
        <w:t xml:space="preserve"> </w:t>
      </w:r>
      <w:r w:rsidRPr="00C74DE0">
        <w:rPr>
          <w:rFonts w:ascii="Times New Roman" w:hAnsi="Times New Roman" w:cs="Times New Roman"/>
          <w:szCs w:val="24"/>
        </w:rPr>
        <w:t xml:space="preserve">and the process is called </w:t>
      </w:r>
      <w:r w:rsidRPr="00C74DE0">
        <w:rPr>
          <w:rFonts w:ascii="Times New Roman" w:hAnsi="Times New Roman" w:cs="Times New Roman"/>
          <w:i/>
          <w:szCs w:val="24"/>
        </w:rPr>
        <w:t>sat</w:t>
      </w:r>
      <w:r w:rsidRPr="00C74DE0">
        <w:rPr>
          <w:rFonts w:ascii="Times New Roman" w:hAnsi="Times New Roman" w:cs="Times New Roman"/>
          <w:szCs w:val="24"/>
        </w:rPr>
        <w:t xml:space="preserve"> or </w:t>
      </w:r>
      <w:r w:rsidRPr="00C74DE0">
        <w:rPr>
          <w:rFonts w:ascii="Times New Roman" w:hAnsi="Times New Roman" w:cs="Times New Roman"/>
          <w:i/>
          <w:szCs w:val="24"/>
        </w:rPr>
        <w:t>bhāva</w:t>
      </w:r>
      <w:r w:rsidRPr="00C74DE0">
        <w:rPr>
          <w:rFonts w:ascii="Times New Roman" w:hAnsi="Times New Roman" w:cs="Times New Roman"/>
          <w:szCs w:val="24"/>
        </w:rPr>
        <w:t>. Again, when a negative object is known as negative, which is its actual nature, too</w:t>
      </w:r>
      <w:r>
        <w:rPr>
          <w:rFonts w:ascii="Times New Roman" w:hAnsi="Times New Roman" w:cs="Times New Roman"/>
          <w:szCs w:val="24"/>
        </w:rPr>
        <w:t>, it</w:t>
      </w:r>
      <w:r w:rsidRPr="00C74DE0">
        <w:rPr>
          <w:rFonts w:ascii="Times New Roman" w:hAnsi="Times New Roman" w:cs="Times New Roman"/>
          <w:szCs w:val="24"/>
        </w:rPr>
        <w:t xml:space="preserve"> becomes </w:t>
      </w:r>
      <w:r w:rsidRPr="00C74DE0">
        <w:rPr>
          <w:rFonts w:ascii="Times New Roman" w:hAnsi="Times New Roman" w:cs="Times New Roman"/>
          <w:i/>
          <w:szCs w:val="24"/>
        </w:rPr>
        <w:t>tattva</w:t>
      </w:r>
      <w:r>
        <w:rPr>
          <w:rFonts w:ascii="Times New Roman" w:hAnsi="Times New Roman" w:cs="Times New Roman"/>
          <w:i/>
          <w:szCs w:val="24"/>
        </w:rPr>
        <w:t>,</w:t>
      </w:r>
      <w:r w:rsidRPr="00C74DE0">
        <w:rPr>
          <w:rFonts w:ascii="Times New Roman" w:hAnsi="Times New Roman" w:cs="Times New Roman"/>
          <w:i/>
          <w:szCs w:val="24"/>
        </w:rPr>
        <w:t xml:space="preserve"> </w:t>
      </w:r>
      <w:r w:rsidRPr="00C74DE0">
        <w:rPr>
          <w:rFonts w:ascii="Times New Roman" w:hAnsi="Times New Roman" w:cs="Times New Roman"/>
          <w:szCs w:val="24"/>
        </w:rPr>
        <w:t xml:space="preserve">and the process is called </w:t>
      </w:r>
      <w:r w:rsidRPr="00C74DE0">
        <w:rPr>
          <w:rFonts w:ascii="Times New Roman" w:hAnsi="Times New Roman" w:cs="Times New Roman"/>
          <w:i/>
          <w:szCs w:val="24"/>
        </w:rPr>
        <w:t>asat</w:t>
      </w:r>
      <w:r w:rsidRPr="00C74DE0">
        <w:rPr>
          <w:rFonts w:ascii="Times New Roman" w:hAnsi="Times New Roman" w:cs="Times New Roman"/>
          <w:szCs w:val="24"/>
        </w:rPr>
        <w:t xml:space="preserve"> or </w:t>
      </w:r>
      <w:r w:rsidRPr="00C74DE0">
        <w:rPr>
          <w:rFonts w:ascii="Times New Roman" w:hAnsi="Times New Roman" w:cs="Times New Roman"/>
          <w:i/>
          <w:szCs w:val="24"/>
        </w:rPr>
        <w:t>abhāva</w:t>
      </w:r>
      <w:r w:rsidRPr="00C74DE0">
        <w:rPr>
          <w:rFonts w:ascii="Times New Roman" w:hAnsi="Times New Roman" w:cs="Times New Roman"/>
          <w:szCs w:val="24"/>
        </w:rPr>
        <w:t>. Thus, objects are classified under two heads: positive (</w:t>
      </w:r>
      <w:r w:rsidRPr="00C74DE0">
        <w:rPr>
          <w:rFonts w:ascii="Times New Roman" w:hAnsi="Times New Roman" w:cs="Times New Roman"/>
          <w:i/>
          <w:szCs w:val="24"/>
        </w:rPr>
        <w:t>bhāva</w:t>
      </w:r>
      <w:r w:rsidRPr="00C74DE0">
        <w:rPr>
          <w:rFonts w:ascii="Times New Roman" w:hAnsi="Times New Roman" w:cs="Times New Roman"/>
          <w:szCs w:val="24"/>
        </w:rPr>
        <w:t>) and negative (</w:t>
      </w:r>
      <w:r w:rsidRPr="00C74DE0">
        <w:rPr>
          <w:rFonts w:ascii="Times New Roman" w:hAnsi="Times New Roman" w:cs="Times New Roman"/>
          <w:i/>
          <w:szCs w:val="24"/>
        </w:rPr>
        <w:t>abhāva</w:t>
      </w:r>
      <w:r w:rsidRPr="00C74DE0">
        <w:rPr>
          <w:rFonts w:ascii="Times New Roman" w:hAnsi="Times New Roman" w:cs="Times New Roman"/>
          <w:szCs w:val="24"/>
        </w:rPr>
        <w:t xml:space="preserve">). Positive objects are those that are determined by </w:t>
      </w:r>
      <w:r w:rsidRPr="00C74DE0">
        <w:rPr>
          <w:rFonts w:ascii="Times New Roman" w:hAnsi="Times New Roman" w:cs="Times New Roman"/>
          <w:i/>
          <w:szCs w:val="24"/>
        </w:rPr>
        <w:t>pramā</w:t>
      </w:r>
      <w:r w:rsidRPr="00C74DE0">
        <w:rPr>
          <w:rStyle w:val="Emphasis"/>
          <w:rFonts w:ascii="Times New Roman" w:hAnsi="Times New Roman" w:cs="Times New Roman"/>
          <w:szCs w:val="24"/>
        </w:rPr>
        <w:t>ṇ</w:t>
      </w:r>
      <w:r w:rsidRPr="00C74DE0">
        <w:rPr>
          <w:rFonts w:ascii="Times New Roman" w:hAnsi="Times New Roman" w:cs="Times New Roman"/>
          <w:i/>
          <w:szCs w:val="24"/>
        </w:rPr>
        <w:t>a</w:t>
      </w:r>
      <w:r w:rsidRPr="00C74DE0">
        <w:rPr>
          <w:rFonts w:ascii="Times New Roman" w:hAnsi="Times New Roman" w:cs="Times New Roman"/>
          <w:szCs w:val="24"/>
        </w:rPr>
        <w:t xml:space="preserve"> as existing, and negative objects are determined by </w:t>
      </w:r>
      <w:r w:rsidRPr="00C74DE0">
        <w:rPr>
          <w:rFonts w:ascii="Times New Roman" w:hAnsi="Times New Roman" w:cs="Times New Roman"/>
          <w:i/>
          <w:iCs/>
          <w:szCs w:val="24"/>
        </w:rPr>
        <w:t>p</w:t>
      </w:r>
      <w:r w:rsidRPr="00C74DE0">
        <w:rPr>
          <w:rFonts w:ascii="Times New Roman" w:hAnsi="Times New Roman" w:cs="Times New Roman"/>
          <w:i/>
          <w:szCs w:val="24"/>
        </w:rPr>
        <w:t>ramāṇa</w:t>
      </w:r>
      <w:r w:rsidRPr="00C74DE0">
        <w:rPr>
          <w:rFonts w:ascii="Times New Roman" w:hAnsi="Times New Roman" w:cs="Times New Roman"/>
          <w:szCs w:val="24"/>
        </w:rPr>
        <w:t xml:space="preserve"> as not existing. Therefore, “being determined by </w:t>
      </w:r>
      <w:r w:rsidRPr="00C74DE0">
        <w:rPr>
          <w:rFonts w:ascii="Times New Roman" w:hAnsi="Times New Roman" w:cs="Times New Roman"/>
          <w:i/>
          <w:iCs/>
          <w:szCs w:val="24"/>
        </w:rPr>
        <w:t>p</w:t>
      </w:r>
      <w:r w:rsidRPr="00C74DE0">
        <w:rPr>
          <w:rFonts w:ascii="Times New Roman" w:hAnsi="Times New Roman" w:cs="Times New Roman"/>
          <w:i/>
          <w:szCs w:val="24"/>
        </w:rPr>
        <w:t>ramāṇa</w:t>
      </w:r>
      <w:r w:rsidRPr="00C74DE0">
        <w:rPr>
          <w:rFonts w:ascii="Times New Roman" w:hAnsi="Times New Roman" w:cs="Times New Roman"/>
          <w:szCs w:val="24"/>
        </w:rPr>
        <w:t xml:space="preserve"> as existing constitutes the intrinsic nature of the positive object or its positivity. Being determined by </w:t>
      </w:r>
      <w:r w:rsidRPr="00C74DE0">
        <w:rPr>
          <w:rFonts w:ascii="Times New Roman" w:hAnsi="Times New Roman" w:cs="Times New Roman"/>
          <w:i/>
          <w:szCs w:val="24"/>
        </w:rPr>
        <w:t>pramāṇa</w:t>
      </w:r>
      <w:r w:rsidRPr="00C74DE0">
        <w:rPr>
          <w:rFonts w:ascii="Times New Roman" w:hAnsi="Times New Roman" w:cs="Times New Roman"/>
          <w:szCs w:val="24"/>
        </w:rPr>
        <w:t xml:space="preserve"> as not existing constitutes the intrinsic nature of the negative object or its negativity.”(</w:t>
      </w:r>
      <w:r w:rsidRPr="00C74DE0">
        <w:rPr>
          <w:rFonts w:ascii="Times New Roman" w:eastAsia="Times New Roman" w:hAnsi="Times New Roman" w:cs="Times New Roman"/>
          <w:color w:val="000000"/>
          <w:szCs w:val="24"/>
          <w:lang w:eastAsia="en-IN"/>
        </w:rPr>
        <w:t>Chattopadhyaya &amp; Gangopadhyaya, 1967, p. 9</w:t>
      </w:r>
      <w:r w:rsidRPr="00C74DE0">
        <w:rPr>
          <w:rFonts w:ascii="Times New Roman" w:hAnsi="Times New Roman" w:cs="Times New Roman"/>
          <w:szCs w:val="24"/>
        </w:rPr>
        <w:t>)</w:t>
      </w:r>
    </w:p>
    <w:p w14:paraId="76D125F4" w14:textId="7B47ADDC"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 xml:space="preserve">It is well-known that an object </w:t>
      </w:r>
      <w:r>
        <w:rPr>
          <w:rFonts w:ascii="Times New Roman" w:hAnsi="Times New Roman" w:cs="Times New Roman"/>
          <w:szCs w:val="24"/>
        </w:rPr>
        <w:t>must</w:t>
      </w:r>
      <w:r w:rsidRPr="00C74DE0">
        <w:rPr>
          <w:rFonts w:ascii="Times New Roman" w:hAnsi="Times New Roman" w:cs="Times New Roman"/>
          <w:szCs w:val="24"/>
        </w:rPr>
        <w:t xml:space="preserve"> be ascertained by a </w:t>
      </w:r>
      <w:r w:rsidRPr="00C74DE0">
        <w:rPr>
          <w:rFonts w:ascii="Times New Roman" w:hAnsi="Times New Roman" w:cs="Times New Roman"/>
          <w:i/>
          <w:szCs w:val="24"/>
        </w:rPr>
        <w:t>pramāṇa</w:t>
      </w:r>
      <w:r w:rsidRPr="00C74DE0">
        <w:rPr>
          <w:rFonts w:ascii="Times New Roman" w:hAnsi="Times New Roman" w:cs="Times New Roman"/>
          <w:szCs w:val="24"/>
        </w:rPr>
        <w:t>. Otherwise, it cannot be called an object (</w:t>
      </w:r>
      <w:r w:rsidRPr="00C74DE0">
        <w:rPr>
          <w:rFonts w:ascii="Times New Roman" w:hAnsi="Times New Roman" w:cs="Times New Roman"/>
          <w:i/>
          <w:szCs w:val="24"/>
        </w:rPr>
        <w:t>padārtha</w:t>
      </w:r>
      <w:r w:rsidRPr="00C74DE0">
        <w:rPr>
          <w:rFonts w:ascii="Times New Roman" w:hAnsi="Times New Roman" w:cs="Times New Roman"/>
          <w:szCs w:val="24"/>
        </w:rPr>
        <w:t xml:space="preserve">). Here, Vātsyāyana raised a question regarding the negative object. He pointed out that a negative object, too, is a type of object. Then, the question is how to know the negative or </w:t>
      </w:r>
      <w:r w:rsidRPr="00C74DE0">
        <w:rPr>
          <w:rFonts w:ascii="Times New Roman" w:hAnsi="Times New Roman" w:cs="Times New Roman"/>
          <w:i/>
          <w:szCs w:val="24"/>
        </w:rPr>
        <w:t xml:space="preserve">asat </w:t>
      </w:r>
      <w:r w:rsidRPr="00C74DE0">
        <w:rPr>
          <w:rFonts w:ascii="Times New Roman" w:hAnsi="Times New Roman" w:cs="Times New Roman"/>
          <w:szCs w:val="24"/>
        </w:rPr>
        <w:t xml:space="preserve">by a </w:t>
      </w:r>
      <w:r w:rsidRPr="00C74DE0">
        <w:rPr>
          <w:rFonts w:ascii="Times New Roman" w:hAnsi="Times New Roman" w:cs="Times New Roman"/>
          <w:i/>
          <w:szCs w:val="24"/>
        </w:rPr>
        <w:t>pramāṇa.</w:t>
      </w:r>
      <w:r w:rsidRPr="00C74DE0">
        <w:rPr>
          <w:rFonts w:ascii="Times New Roman" w:hAnsi="Times New Roman" w:cs="Times New Roman"/>
          <w:szCs w:val="24"/>
        </w:rPr>
        <w:t xml:space="preserve"> He resolved the issue by asserting that </w:t>
      </w:r>
      <w:r>
        <w:rPr>
          <w:rFonts w:ascii="Times New Roman" w:hAnsi="Times New Roman" w:cs="Times New Roman"/>
          <w:szCs w:val="24"/>
        </w:rPr>
        <w:t xml:space="preserve">a </w:t>
      </w:r>
      <w:r w:rsidRPr="00C74DE0">
        <w:rPr>
          <w:rFonts w:ascii="Times New Roman" w:hAnsi="Times New Roman" w:cs="Times New Roman"/>
          <w:szCs w:val="24"/>
        </w:rPr>
        <w:t xml:space="preserve">similar </w:t>
      </w:r>
      <w:r w:rsidRPr="00C74DE0">
        <w:rPr>
          <w:rFonts w:ascii="Times New Roman" w:hAnsi="Times New Roman" w:cs="Times New Roman"/>
          <w:i/>
          <w:szCs w:val="24"/>
        </w:rPr>
        <w:t>pramāṇa</w:t>
      </w:r>
      <w:r w:rsidRPr="00C74DE0">
        <w:rPr>
          <w:rFonts w:ascii="Times New Roman" w:hAnsi="Times New Roman" w:cs="Times New Roman"/>
          <w:szCs w:val="24"/>
        </w:rPr>
        <w:t xml:space="preserve"> </w:t>
      </w:r>
      <w:r>
        <w:rPr>
          <w:rFonts w:ascii="Times New Roman" w:hAnsi="Times New Roman" w:cs="Times New Roman"/>
          <w:szCs w:val="24"/>
        </w:rPr>
        <w:t>that</w:t>
      </w:r>
      <w:r w:rsidRPr="00C74DE0">
        <w:rPr>
          <w:rFonts w:ascii="Times New Roman" w:hAnsi="Times New Roman" w:cs="Times New Roman"/>
          <w:szCs w:val="24"/>
        </w:rPr>
        <w:t xml:space="preserve"> reveals the positive object also reveals the negative object. He produced an example to clarify the particular doubt regarding the negative objects. He wrote:</w:t>
      </w:r>
    </w:p>
    <w:p w14:paraId="50AA0058" w14:textId="5B2CEFEA" w:rsidR="00C74DE0" w:rsidRPr="00C74DE0" w:rsidRDefault="00C74DE0" w:rsidP="00C74DE0">
      <w:pPr>
        <w:spacing w:line="360" w:lineRule="auto"/>
        <w:ind w:left="720" w:right="720"/>
        <w:jc w:val="both"/>
        <w:rPr>
          <w:rFonts w:ascii="Times New Roman" w:hAnsi="Times New Roman" w:cs="Times New Roman"/>
          <w:szCs w:val="24"/>
        </w:rPr>
      </w:pPr>
      <w:r w:rsidRPr="00C74DE0">
        <w:rPr>
          <w:rFonts w:ascii="Times New Roman" w:hAnsi="Times New Roman" w:cs="Times New Roman"/>
          <w:szCs w:val="24"/>
        </w:rPr>
        <w:t>“After the escape of the thief</w:t>
      </w:r>
      <w:r w:rsidR="00F871C1">
        <w:rPr>
          <w:rFonts w:ascii="Times New Roman" w:hAnsi="Times New Roman" w:cs="Times New Roman"/>
          <w:szCs w:val="24"/>
        </w:rPr>
        <w:t>,</w:t>
      </w:r>
      <w:r w:rsidRPr="00C74DE0">
        <w:rPr>
          <w:rFonts w:ascii="Times New Roman" w:hAnsi="Times New Roman" w:cs="Times New Roman"/>
          <w:szCs w:val="24"/>
        </w:rPr>
        <w:t xml:space="preserve"> a mere boy can, with a lamp, find out what is in the room as well as what is not there. What exists is seen, what exists not is not seen; thus</w:t>
      </w:r>
      <w:r w:rsidR="00F871C1">
        <w:rPr>
          <w:rFonts w:ascii="Times New Roman" w:hAnsi="Times New Roman" w:cs="Times New Roman"/>
          <w:szCs w:val="24"/>
        </w:rPr>
        <w:t>,</w:t>
      </w:r>
      <w:r w:rsidRPr="00C74DE0">
        <w:rPr>
          <w:rFonts w:ascii="Times New Roman" w:hAnsi="Times New Roman" w:cs="Times New Roman"/>
          <w:szCs w:val="24"/>
        </w:rPr>
        <w:t xml:space="preserve"> the latter is known as not existent. Such awareness of the </w:t>
      </w:r>
      <w:r w:rsidR="00F871C1">
        <w:rPr>
          <w:rFonts w:ascii="Times New Roman" w:hAnsi="Times New Roman" w:cs="Times New Roman"/>
          <w:szCs w:val="24"/>
        </w:rPr>
        <w:t>non-existent</w:t>
      </w:r>
      <w:r w:rsidRPr="00C74DE0">
        <w:rPr>
          <w:rFonts w:ascii="Times New Roman" w:hAnsi="Times New Roman" w:cs="Times New Roman"/>
          <w:szCs w:val="24"/>
        </w:rPr>
        <w:t xml:space="preserve"> is common to all. Being awareness, it necessarily points an object. The object pointed </w:t>
      </w:r>
      <w:r w:rsidRPr="00C74DE0">
        <w:rPr>
          <w:rFonts w:ascii="Times New Roman" w:hAnsi="Times New Roman" w:cs="Times New Roman"/>
          <w:szCs w:val="24"/>
        </w:rPr>
        <w:lastRenderedPageBreak/>
        <w:t>by it (i.e. by the awareness of the not existent) is the negative object. So, the awareness of something as not existent is the awareness of the negative object.” (Ibid., p. 9)</w:t>
      </w:r>
    </w:p>
    <w:p w14:paraId="24DC0FCE" w14:textId="794B21F0"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 xml:space="preserve">However, it is Vātsyāyana who classified objects under two heads, namely, the positive and the negative. But Gautama, in his first </w:t>
      </w:r>
      <w:r w:rsidRPr="00C74DE0">
        <w:rPr>
          <w:rFonts w:ascii="Times New Roman" w:hAnsi="Times New Roman" w:cs="Times New Roman"/>
          <w:i/>
          <w:iCs/>
          <w:szCs w:val="24"/>
        </w:rPr>
        <w:t>sūtra</w:t>
      </w:r>
      <w:r w:rsidRPr="00C74DE0">
        <w:rPr>
          <w:rFonts w:ascii="Times New Roman" w:hAnsi="Times New Roman" w:cs="Times New Roman"/>
          <w:szCs w:val="24"/>
        </w:rPr>
        <w:t xml:space="preserve"> regarding sixteen categories, didn’t mention the negative object. That is why later commentators obliged themselves to offer some explanation for Gautama’s silence over the negative objects. And there are two necessary explanations which could be offered. Firstly, the awareness of the negative object is presupposed by the reference to its positive counterpart</w:t>
      </w:r>
      <w:r>
        <w:rPr>
          <w:rFonts w:ascii="Times New Roman" w:hAnsi="Times New Roman" w:cs="Times New Roman"/>
          <w:szCs w:val="24"/>
        </w:rPr>
        <w:t>,</w:t>
      </w:r>
      <w:r w:rsidRPr="00C74DE0">
        <w:rPr>
          <w:rFonts w:ascii="Times New Roman" w:hAnsi="Times New Roman" w:cs="Times New Roman"/>
          <w:szCs w:val="24"/>
        </w:rPr>
        <w:t xml:space="preserve"> and as such, Gautama is primarily concerned with the latter (Ibid., p. 9). Secondly, Gautama discussed only those objects the knowledge of which directly produces the </w:t>
      </w:r>
      <w:r>
        <w:rPr>
          <w:rFonts w:ascii="Times New Roman" w:hAnsi="Times New Roman" w:cs="Times New Roman"/>
          <w:i/>
          <w:szCs w:val="24"/>
        </w:rPr>
        <w:t>summum</w:t>
      </w:r>
      <w:r w:rsidRPr="00C74DE0">
        <w:rPr>
          <w:rFonts w:ascii="Times New Roman" w:hAnsi="Times New Roman" w:cs="Times New Roman"/>
          <w:i/>
          <w:szCs w:val="24"/>
        </w:rPr>
        <w:t xml:space="preserve"> bonum</w:t>
      </w:r>
      <w:r w:rsidRPr="00C74DE0">
        <w:rPr>
          <w:rFonts w:ascii="Times New Roman" w:hAnsi="Times New Roman" w:cs="Times New Roman"/>
          <w:szCs w:val="24"/>
        </w:rPr>
        <w:t xml:space="preserve"> (</w:t>
      </w:r>
      <w:r w:rsidRPr="00C74DE0">
        <w:rPr>
          <w:rFonts w:ascii="Times New Roman" w:hAnsi="Times New Roman" w:cs="Times New Roman"/>
          <w:i/>
          <w:szCs w:val="24"/>
        </w:rPr>
        <w:t>niḥśreyasa</w:t>
      </w:r>
      <w:r w:rsidRPr="00C74DE0">
        <w:rPr>
          <w:rFonts w:ascii="Times New Roman" w:hAnsi="Times New Roman" w:cs="Times New Roman"/>
          <w:szCs w:val="24"/>
        </w:rPr>
        <w:t xml:space="preserve">) (Ibid., p. 9). Though there are many other objects, the knowledge of which doesn’t lead to the </w:t>
      </w:r>
      <w:r>
        <w:rPr>
          <w:rFonts w:ascii="Times New Roman" w:hAnsi="Times New Roman" w:cs="Times New Roman"/>
          <w:i/>
          <w:szCs w:val="24"/>
        </w:rPr>
        <w:t>summum</w:t>
      </w:r>
      <w:r w:rsidRPr="00C74DE0">
        <w:rPr>
          <w:rFonts w:ascii="Times New Roman" w:hAnsi="Times New Roman" w:cs="Times New Roman"/>
          <w:i/>
          <w:szCs w:val="24"/>
        </w:rPr>
        <w:t xml:space="preserve"> bonum. </w:t>
      </w:r>
      <w:r w:rsidRPr="00C74DE0">
        <w:rPr>
          <w:rFonts w:ascii="Times New Roman" w:hAnsi="Times New Roman" w:cs="Times New Roman"/>
          <w:szCs w:val="24"/>
        </w:rPr>
        <w:t xml:space="preserve">That is why Gautama didn’t mention those objects in his sutra. He also refrained from mentioning the negative objects. However, Phanibhūsana argued that Gautama implicitly mentioned the negative objects: “In the list of sixteen categories occurs </w:t>
      </w:r>
      <w:r w:rsidRPr="00C74DE0">
        <w:rPr>
          <w:rFonts w:ascii="Times New Roman" w:hAnsi="Times New Roman" w:cs="Times New Roman"/>
          <w:i/>
          <w:szCs w:val="24"/>
        </w:rPr>
        <w:t>prameya</w:t>
      </w:r>
      <w:r w:rsidRPr="00C74DE0">
        <w:rPr>
          <w:rFonts w:ascii="Times New Roman" w:hAnsi="Times New Roman" w:cs="Times New Roman"/>
          <w:szCs w:val="24"/>
        </w:rPr>
        <w:t xml:space="preserve"> (object of knowledge), which includes </w:t>
      </w:r>
      <w:r w:rsidRPr="00C74DE0">
        <w:rPr>
          <w:rFonts w:ascii="Times New Roman" w:hAnsi="Times New Roman" w:cs="Times New Roman"/>
          <w:i/>
          <w:szCs w:val="24"/>
        </w:rPr>
        <w:t>apavarga</w:t>
      </w:r>
      <w:r w:rsidRPr="00C74DE0">
        <w:rPr>
          <w:rFonts w:ascii="Times New Roman" w:hAnsi="Times New Roman" w:cs="Times New Roman"/>
          <w:szCs w:val="24"/>
        </w:rPr>
        <w:t xml:space="preserve">. The meaning of </w:t>
      </w:r>
      <w:r w:rsidRPr="00C74DE0">
        <w:rPr>
          <w:rFonts w:ascii="Times New Roman" w:hAnsi="Times New Roman" w:cs="Times New Roman"/>
          <w:i/>
          <w:szCs w:val="24"/>
        </w:rPr>
        <w:t xml:space="preserve">apavarga </w:t>
      </w:r>
      <w:r w:rsidRPr="00C74DE0">
        <w:rPr>
          <w:rFonts w:ascii="Times New Roman" w:hAnsi="Times New Roman" w:cs="Times New Roman"/>
          <w:szCs w:val="24"/>
        </w:rPr>
        <w:t xml:space="preserve">is the absolute non-existence of suffering and as such is a negative object” (Ibid., p. 9). Therefore, in this way, the claim regarding Gautama’s silence about the negative object is resolved. </w:t>
      </w:r>
    </w:p>
    <w:p w14:paraId="29571187" w14:textId="77777777" w:rsidR="00C74DE0" w:rsidRPr="00C74DE0" w:rsidRDefault="00C74DE0" w:rsidP="00C74DE0">
      <w:pPr>
        <w:spacing w:line="360" w:lineRule="auto"/>
        <w:jc w:val="both"/>
        <w:rPr>
          <w:rFonts w:ascii="Times New Roman" w:hAnsi="Times New Roman" w:cs="Times New Roman"/>
          <w:b/>
          <w:szCs w:val="24"/>
        </w:rPr>
      </w:pPr>
      <w:r w:rsidRPr="00C74DE0">
        <w:rPr>
          <w:rFonts w:ascii="Times New Roman" w:hAnsi="Times New Roman" w:cs="Times New Roman"/>
          <w:b/>
          <w:bCs/>
          <w:szCs w:val="24"/>
        </w:rPr>
        <w:t xml:space="preserve">Gautama’s First </w:t>
      </w:r>
      <w:r w:rsidRPr="00C74DE0">
        <w:rPr>
          <w:rFonts w:ascii="Times New Roman" w:hAnsi="Times New Roman" w:cs="Times New Roman"/>
          <w:b/>
          <w:bCs/>
          <w:i/>
          <w:iCs/>
          <w:szCs w:val="24"/>
        </w:rPr>
        <w:t>Sūtra</w:t>
      </w:r>
      <w:r w:rsidRPr="00C74DE0">
        <w:rPr>
          <w:rFonts w:ascii="Times New Roman" w:hAnsi="Times New Roman" w:cs="Times New Roman"/>
          <w:b/>
          <w:bCs/>
          <w:szCs w:val="24"/>
        </w:rPr>
        <w:t>: An Analysis of Its Essence</w:t>
      </w:r>
    </w:p>
    <w:p w14:paraId="0C482AA8" w14:textId="77777777"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 xml:space="preserve">Vātsāyana begins his analysis of Gautama’s first </w:t>
      </w:r>
      <w:r w:rsidRPr="00C74DE0">
        <w:rPr>
          <w:rFonts w:ascii="Times New Roman" w:hAnsi="Times New Roman" w:cs="Times New Roman"/>
          <w:i/>
          <w:iCs/>
          <w:szCs w:val="24"/>
        </w:rPr>
        <w:t>sūtra</w:t>
      </w:r>
      <w:r w:rsidRPr="00C74DE0">
        <w:rPr>
          <w:rFonts w:ascii="Times New Roman" w:hAnsi="Times New Roman" w:cs="Times New Roman"/>
          <w:szCs w:val="24"/>
        </w:rPr>
        <w:t xml:space="preserve"> by mentioning that true cognition of the sixteen categories is instrumental to the </w:t>
      </w:r>
      <w:r w:rsidRPr="00C74DE0">
        <w:rPr>
          <w:rFonts w:ascii="Times New Roman" w:hAnsi="Times New Roman" w:cs="Times New Roman"/>
          <w:i/>
          <w:iCs/>
          <w:szCs w:val="24"/>
        </w:rPr>
        <w:t>summum</w:t>
      </w:r>
      <w:r w:rsidRPr="00C74DE0">
        <w:rPr>
          <w:rFonts w:ascii="Times New Roman" w:hAnsi="Times New Roman" w:cs="Times New Roman"/>
          <w:i/>
          <w:szCs w:val="24"/>
        </w:rPr>
        <w:t xml:space="preserve"> bonum</w:t>
      </w:r>
      <w:r w:rsidRPr="00C74DE0">
        <w:rPr>
          <w:rFonts w:ascii="Times New Roman" w:hAnsi="Times New Roman" w:cs="Times New Roman"/>
          <w:szCs w:val="24"/>
        </w:rPr>
        <w:t xml:space="preserve"> (liberation)</w:t>
      </w:r>
      <w:r w:rsidRPr="00C74DE0">
        <w:rPr>
          <w:rFonts w:ascii="Times New Roman" w:hAnsi="Times New Roman" w:cs="Times New Roman"/>
          <w:i/>
          <w:szCs w:val="24"/>
        </w:rPr>
        <w:t>.</w:t>
      </w:r>
      <w:r w:rsidRPr="00C74DE0">
        <w:rPr>
          <w:rFonts w:ascii="Times New Roman" w:hAnsi="Times New Roman" w:cs="Times New Roman"/>
          <w:szCs w:val="24"/>
        </w:rPr>
        <w:t xml:space="preserve"> The categories that comprise the acquisition of true cognition are:</w:t>
      </w:r>
    </w:p>
    <w:p w14:paraId="479934DD" w14:textId="77777777" w:rsidR="00C74DE0" w:rsidRPr="00C74DE0" w:rsidRDefault="00C74DE0" w:rsidP="00C74DE0">
      <w:pPr>
        <w:pStyle w:val="ListParagraph"/>
        <w:numPr>
          <w:ilvl w:val="0"/>
          <w:numId w:val="9"/>
        </w:numPr>
        <w:spacing w:line="360" w:lineRule="auto"/>
        <w:jc w:val="both"/>
        <w:rPr>
          <w:rFonts w:ascii="Times New Roman" w:hAnsi="Times New Roman" w:cs="Times New Roman"/>
          <w:szCs w:val="24"/>
        </w:rPr>
      </w:pPr>
      <w:r w:rsidRPr="00C74DE0">
        <w:rPr>
          <w:rFonts w:ascii="Times New Roman" w:hAnsi="Times New Roman" w:cs="Times New Roman"/>
          <w:szCs w:val="24"/>
        </w:rPr>
        <w:t>Instrument of valid knowledge (</w:t>
      </w:r>
      <w:r w:rsidRPr="00C74DE0">
        <w:rPr>
          <w:rFonts w:ascii="Times New Roman" w:hAnsi="Times New Roman" w:cs="Times New Roman"/>
          <w:i/>
          <w:iCs/>
          <w:szCs w:val="24"/>
        </w:rPr>
        <w:t>P</w:t>
      </w:r>
      <w:r w:rsidRPr="00C74DE0">
        <w:rPr>
          <w:rFonts w:ascii="Times New Roman" w:hAnsi="Times New Roman" w:cs="Times New Roman"/>
          <w:i/>
          <w:szCs w:val="24"/>
        </w:rPr>
        <w:t>ramāṇa</w:t>
      </w:r>
      <w:r w:rsidRPr="00C74DE0">
        <w:rPr>
          <w:rFonts w:ascii="Times New Roman" w:hAnsi="Times New Roman" w:cs="Times New Roman"/>
          <w:szCs w:val="24"/>
        </w:rPr>
        <w:t>),</w:t>
      </w:r>
    </w:p>
    <w:p w14:paraId="5B8DE736" w14:textId="77777777" w:rsidR="00C74DE0" w:rsidRPr="00C74DE0" w:rsidRDefault="00C74DE0" w:rsidP="00C74DE0">
      <w:pPr>
        <w:pStyle w:val="ListParagraph"/>
        <w:numPr>
          <w:ilvl w:val="0"/>
          <w:numId w:val="9"/>
        </w:numPr>
        <w:spacing w:line="360" w:lineRule="auto"/>
        <w:jc w:val="both"/>
        <w:rPr>
          <w:rFonts w:ascii="Times New Roman" w:hAnsi="Times New Roman" w:cs="Times New Roman"/>
          <w:szCs w:val="24"/>
        </w:rPr>
      </w:pPr>
      <w:r w:rsidRPr="00C74DE0">
        <w:rPr>
          <w:rFonts w:ascii="Times New Roman" w:hAnsi="Times New Roman" w:cs="Times New Roman"/>
          <w:szCs w:val="24"/>
        </w:rPr>
        <w:t>Object of valid knowledge (</w:t>
      </w:r>
      <w:r w:rsidRPr="00C74DE0">
        <w:rPr>
          <w:rFonts w:ascii="Times New Roman" w:hAnsi="Times New Roman" w:cs="Times New Roman"/>
          <w:i/>
          <w:szCs w:val="24"/>
        </w:rPr>
        <w:t>Prameya</w:t>
      </w:r>
      <w:r w:rsidRPr="00C74DE0">
        <w:rPr>
          <w:rFonts w:ascii="Times New Roman" w:hAnsi="Times New Roman" w:cs="Times New Roman"/>
          <w:szCs w:val="24"/>
        </w:rPr>
        <w:t>),</w:t>
      </w:r>
    </w:p>
    <w:p w14:paraId="6DEBF627" w14:textId="77777777" w:rsidR="00C74DE0" w:rsidRPr="00C74DE0" w:rsidRDefault="00C74DE0" w:rsidP="00C74DE0">
      <w:pPr>
        <w:pStyle w:val="ListParagraph"/>
        <w:numPr>
          <w:ilvl w:val="0"/>
          <w:numId w:val="9"/>
        </w:numPr>
        <w:spacing w:line="360" w:lineRule="auto"/>
        <w:jc w:val="both"/>
        <w:rPr>
          <w:rFonts w:ascii="Times New Roman" w:hAnsi="Times New Roman" w:cs="Times New Roman"/>
          <w:szCs w:val="24"/>
        </w:rPr>
      </w:pPr>
      <w:r w:rsidRPr="00C74DE0">
        <w:rPr>
          <w:rFonts w:ascii="Times New Roman" w:hAnsi="Times New Roman" w:cs="Times New Roman"/>
          <w:szCs w:val="24"/>
        </w:rPr>
        <w:t>Doubt (</w:t>
      </w:r>
      <w:r w:rsidRPr="00C74DE0">
        <w:rPr>
          <w:rFonts w:ascii="Times New Roman" w:hAnsi="Times New Roman" w:cs="Times New Roman"/>
          <w:i/>
          <w:szCs w:val="24"/>
        </w:rPr>
        <w:t>Saṃśaya</w:t>
      </w:r>
      <w:r w:rsidRPr="00C74DE0">
        <w:rPr>
          <w:rFonts w:ascii="Times New Roman" w:hAnsi="Times New Roman" w:cs="Times New Roman"/>
          <w:szCs w:val="24"/>
        </w:rPr>
        <w:t>),</w:t>
      </w:r>
    </w:p>
    <w:p w14:paraId="104F39D2" w14:textId="77777777" w:rsidR="00C74DE0" w:rsidRPr="00C74DE0" w:rsidRDefault="00C74DE0" w:rsidP="00C74DE0">
      <w:pPr>
        <w:pStyle w:val="ListParagraph"/>
        <w:numPr>
          <w:ilvl w:val="0"/>
          <w:numId w:val="9"/>
        </w:numPr>
        <w:spacing w:line="360" w:lineRule="auto"/>
        <w:jc w:val="both"/>
        <w:rPr>
          <w:rFonts w:ascii="Times New Roman" w:hAnsi="Times New Roman" w:cs="Times New Roman"/>
          <w:szCs w:val="24"/>
        </w:rPr>
      </w:pPr>
      <w:r w:rsidRPr="00C74DE0">
        <w:rPr>
          <w:rFonts w:ascii="Times New Roman" w:hAnsi="Times New Roman" w:cs="Times New Roman"/>
          <w:szCs w:val="24"/>
        </w:rPr>
        <w:t>Incentive (</w:t>
      </w:r>
      <w:r w:rsidRPr="00C74DE0">
        <w:rPr>
          <w:rFonts w:ascii="Times New Roman" w:hAnsi="Times New Roman" w:cs="Times New Roman"/>
          <w:i/>
          <w:szCs w:val="24"/>
        </w:rPr>
        <w:t>Prayojana</w:t>
      </w:r>
      <w:r w:rsidRPr="00C74DE0">
        <w:rPr>
          <w:rFonts w:ascii="Times New Roman" w:hAnsi="Times New Roman" w:cs="Times New Roman"/>
          <w:szCs w:val="24"/>
        </w:rPr>
        <w:t>),</w:t>
      </w:r>
    </w:p>
    <w:p w14:paraId="4A69E64F" w14:textId="77777777" w:rsidR="00C74DE0" w:rsidRPr="00C74DE0" w:rsidRDefault="00C74DE0" w:rsidP="00C74DE0">
      <w:pPr>
        <w:pStyle w:val="ListParagraph"/>
        <w:numPr>
          <w:ilvl w:val="0"/>
          <w:numId w:val="9"/>
        </w:numPr>
        <w:spacing w:line="360" w:lineRule="auto"/>
        <w:jc w:val="both"/>
        <w:rPr>
          <w:rFonts w:ascii="Times New Roman" w:hAnsi="Times New Roman" w:cs="Times New Roman"/>
          <w:szCs w:val="24"/>
        </w:rPr>
      </w:pPr>
      <w:r w:rsidRPr="00C74DE0">
        <w:rPr>
          <w:rFonts w:ascii="Times New Roman" w:hAnsi="Times New Roman" w:cs="Times New Roman"/>
          <w:szCs w:val="24"/>
        </w:rPr>
        <w:t>Corroborative Instance (</w:t>
      </w:r>
      <w:r w:rsidRPr="00C74DE0">
        <w:rPr>
          <w:rFonts w:ascii="Times New Roman" w:hAnsi="Times New Roman" w:cs="Times New Roman"/>
          <w:i/>
          <w:szCs w:val="24"/>
        </w:rPr>
        <w:t>Dṛṣṭānta</w:t>
      </w:r>
      <w:r w:rsidRPr="00C74DE0">
        <w:rPr>
          <w:rFonts w:ascii="Times New Roman" w:hAnsi="Times New Roman" w:cs="Times New Roman"/>
          <w:szCs w:val="24"/>
        </w:rPr>
        <w:t>),</w:t>
      </w:r>
    </w:p>
    <w:p w14:paraId="5BB5474E" w14:textId="77777777" w:rsidR="00C74DE0" w:rsidRPr="00C74DE0" w:rsidRDefault="00C74DE0" w:rsidP="00C74DE0">
      <w:pPr>
        <w:pStyle w:val="ListParagraph"/>
        <w:numPr>
          <w:ilvl w:val="0"/>
          <w:numId w:val="9"/>
        </w:numPr>
        <w:spacing w:line="360" w:lineRule="auto"/>
        <w:jc w:val="both"/>
        <w:rPr>
          <w:rFonts w:ascii="Times New Roman" w:hAnsi="Times New Roman" w:cs="Times New Roman"/>
          <w:szCs w:val="24"/>
        </w:rPr>
      </w:pPr>
      <w:r w:rsidRPr="00C74DE0">
        <w:rPr>
          <w:rFonts w:ascii="Times New Roman" w:hAnsi="Times New Roman" w:cs="Times New Roman"/>
          <w:szCs w:val="24"/>
        </w:rPr>
        <w:t>Proved Doctrine (</w:t>
      </w:r>
      <w:r w:rsidRPr="00C74DE0">
        <w:rPr>
          <w:rFonts w:ascii="Times New Roman" w:hAnsi="Times New Roman" w:cs="Times New Roman"/>
          <w:i/>
          <w:szCs w:val="24"/>
        </w:rPr>
        <w:t>Siddhānta</w:t>
      </w:r>
      <w:r w:rsidRPr="00C74DE0">
        <w:rPr>
          <w:rFonts w:ascii="Times New Roman" w:hAnsi="Times New Roman" w:cs="Times New Roman"/>
          <w:szCs w:val="24"/>
        </w:rPr>
        <w:t>),</w:t>
      </w:r>
    </w:p>
    <w:p w14:paraId="547D56AC" w14:textId="77777777" w:rsidR="00C74DE0" w:rsidRPr="00C74DE0" w:rsidRDefault="00C74DE0" w:rsidP="00C74DE0">
      <w:pPr>
        <w:pStyle w:val="ListParagraph"/>
        <w:numPr>
          <w:ilvl w:val="0"/>
          <w:numId w:val="9"/>
        </w:numPr>
        <w:spacing w:line="360" w:lineRule="auto"/>
        <w:jc w:val="both"/>
        <w:rPr>
          <w:rFonts w:ascii="Times New Roman" w:hAnsi="Times New Roman" w:cs="Times New Roman"/>
          <w:szCs w:val="24"/>
        </w:rPr>
      </w:pPr>
      <w:r w:rsidRPr="00C74DE0">
        <w:rPr>
          <w:rFonts w:ascii="Times New Roman" w:hAnsi="Times New Roman" w:cs="Times New Roman"/>
          <w:szCs w:val="24"/>
        </w:rPr>
        <w:t>Inference- components (</w:t>
      </w:r>
      <w:r w:rsidRPr="00C74DE0">
        <w:rPr>
          <w:rFonts w:ascii="Times New Roman" w:hAnsi="Times New Roman" w:cs="Times New Roman"/>
          <w:i/>
          <w:szCs w:val="24"/>
        </w:rPr>
        <w:t>Avayava</w:t>
      </w:r>
      <w:r w:rsidRPr="00C74DE0">
        <w:rPr>
          <w:rFonts w:ascii="Times New Roman" w:hAnsi="Times New Roman" w:cs="Times New Roman"/>
          <w:szCs w:val="24"/>
        </w:rPr>
        <w:t>),</w:t>
      </w:r>
    </w:p>
    <w:p w14:paraId="6772EE6E" w14:textId="77777777" w:rsidR="00C74DE0" w:rsidRPr="00C74DE0" w:rsidRDefault="00C74DE0" w:rsidP="00C74DE0">
      <w:pPr>
        <w:pStyle w:val="ListParagraph"/>
        <w:numPr>
          <w:ilvl w:val="0"/>
          <w:numId w:val="9"/>
        </w:numPr>
        <w:spacing w:line="360" w:lineRule="auto"/>
        <w:jc w:val="both"/>
        <w:rPr>
          <w:rFonts w:ascii="Times New Roman" w:hAnsi="Times New Roman" w:cs="Times New Roman"/>
          <w:szCs w:val="24"/>
        </w:rPr>
      </w:pPr>
      <w:r w:rsidRPr="00C74DE0">
        <w:rPr>
          <w:rFonts w:ascii="Times New Roman" w:hAnsi="Times New Roman" w:cs="Times New Roman"/>
          <w:szCs w:val="24"/>
        </w:rPr>
        <w:t>Hypothetical Argument (</w:t>
      </w:r>
      <w:r w:rsidRPr="00C74DE0">
        <w:rPr>
          <w:rFonts w:ascii="Times New Roman" w:hAnsi="Times New Roman" w:cs="Times New Roman"/>
          <w:i/>
          <w:szCs w:val="24"/>
        </w:rPr>
        <w:t>Tarka</w:t>
      </w:r>
      <w:r w:rsidRPr="00C74DE0">
        <w:rPr>
          <w:rFonts w:ascii="Times New Roman" w:hAnsi="Times New Roman" w:cs="Times New Roman"/>
          <w:szCs w:val="24"/>
        </w:rPr>
        <w:t>),</w:t>
      </w:r>
    </w:p>
    <w:p w14:paraId="3F31EC05" w14:textId="77777777" w:rsidR="00C74DE0" w:rsidRPr="00C74DE0" w:rsidRDefault="00C74DE0" w:rsidP="00C74DE0">
      <w:pPr>
        <w:pStyle w:val="ListParagraph"/>
        <w:numPr>
          <w:ilvl w:val="0"/>
          <w:numId w:val="9"/>
        </w:numPr>
        <w:spacing w:line="360" w:lineRule="auto"/>
        <w:jc w:val="both"/>
        <w:rPr>
          <w:rFonts w:ascii="Times New Roman" w:hAnsi="Times New Roman" w:cs="Times New Roman"/>
          <w:szCs w:val="24"/>
        </w:rPr>
      </w:pPr>
      <w:r w:rsidRPr="00C74DE0">
        <w:rPr>
          <w:rFonts w:ascii="Times New Roman" w:hAnsi="Times New Roman" w:cs="Times New Roman"/>
          <w:szCs w:val="24"/>
        </w:rPr>
        <w:lastRenderedPageBreak/>
        <w:t>Final Ascertainment (</w:t>
      </w:r>
      <w:r w:rsidRPr="00C74DE0">
        <w:rPr>
          <w:rFonts w:ascii="Times New Roman" w:hAnsi="Times New Roman" w:cs="Times New Roman"/>
          <w:i/>
          <w:szCs w:val="24"/>
        </w:rPr>
        <w:t>Nirṇaya</w:t>
      </w:r>
      <w:r w:rsidRPr="00C74DE0">
        <w:rPr>
          <w:rFonts w:ascii="Times New Roman" w:hAnsi="Times New Roman" w:cs="Times New Roman"/>
          <w:szCs w:val="24"/>
        </w:rPr>
        <w:t>),</w:t>
      </w:r>
    </w:p>
    <w:p w14:paraId="79385188" w14:textId="77777777" w:rsidR="00C74DE0" w:rsidRPr="00C74DE0" w:rsidRDefault="00C74DE0" w:rsidP="00C74DE0">
      <w:pPr>
        <w:pStyle w:val="ListParagraph"/>
        <w:numPr>
          <w:ilvl w:val="0"/>
          <w:numId w:val="9"/>
        </w:numPr>
        <w:spacing w:line="360" w:lineRule="auto"/>
        <w:jc w:val="both"/>
        <w:rPr>
          <w:rFonts w:ascii="Times New Roman" w:hAnsi="Times New Roman" w:cs="Times New Roman"/>
          <w:szCs w:val="24"/>
        </w:rPr>
      </w:pPr>
      <w:r w:rsidRPr="00C74DE0">
        <w:rPr>
          <w:rFonts w:ascii="Times New Roman" w:hAnsi="Times New Roman" w:cs="Times New Roman"/>
          <w:szCs w:val="24"/>
        </w:rPr>
        <w:t>Discussion for the final Ascertainment (</w:t>
      </w:r>
      <w:r w:rsidRPr="00C74DE0">
        <w:rPr>
          <w:rFonts w:ascii="Times New Roman" w:hAnsi="Times New Roman" w:cs="Times New Roman"/>
          <w:i/>
          <w:szCs w:val="24"/>
        </w:rPr>
        <w:t>Vāda</w:t>
      </w:r>
      <w:r w:rsidRPr="00C74DE0">
        <w:rPr>
          <w:rFonts w:ascii="Times New Roman" w:hAnsi="Times New Roman" w:cs="Times New Roman"/>
          <w:szCs w:val="24"/>
        </w:rPr>
        <w:t>),</w:t>
      </w:r>
    </w:p>
    <w:p w14:paraId="009CC6D2" w14:textId="77777777" w:rsidR="00C74DE0" w:rsidRPr="00C74DE0" w:rsidRDefault="00C74DE0" w:rsidP="00C74DE0">
      <w:pPr>
        <w:pStyle w:val="ListParagraph"/>
        <w:numPr>
          <w:ilvl w:val="0"/>
          <w:numId w:val="9"/>
        </w:numPr>
        <w:spacing w:line="360" w:lineRule="auto"/>
        <w:jc w:val="both"/>
        <w:rPr>
          <w:rFonts w:ascii="Times New Roman" w:hAnsi="Times New Roman" w:cs="Times New Roman"/>
          <w:szCs w:val="24"/>
        </w:rPr>
      </w:pPr>
      <w:r w:rsidRPr="00C74DE0">
        <w:rPr>
          <w:rFonts w:ascii="Times New Roman" w:hAnsi="Times New Roman" w:cs="Times New Roman"/>
          <w:szCs w:val="24"/>
        </w:rPr>
        <w:t>Debating Maneuver (</w:t>
      </w:r>
      <w:r w:rsidRPr="00C74DE0">
        <w:rPr>
          <w:rFonts w:ascii="Times New Roman" w:hAnsi="Times New Roman" w:cs="Times New Roman"/>
          <w:i/>
          <w:szCs w:val="24"/>
        </w:rPr>
        <w:t>Jalpa</w:t>
      </w:r>
      <w:r w:rsidRPr="00C74DE0">
        <w:rPr>
          <w:rFonts w:ascii="Times New Roman" w:hAnsi="Times New Roman" w:cs="Times New Roman"/>
          <w:szCs w:val="24"/>
        </w:rPr>
        <w:t>),</w:t>
      </w:r>
    </w:p>
    <w:p w14:paraId="198415DF" w14:textId="77777777" w:rsidR="00C74DE0" w:rsidRPr="00C74DE0" w:rsidRDefault="00C74DE0" w:rsidP="00C74DE0">
      <w:pPr>
        <w:pStyle w:val="ListParagraph"/>
        <w:numPr>
          <w:ilvl w:val="0"/>
          <w:numId w:val="9"/>
        </w:numPr>
        <w:spacing w:line="360" w:lineRule="auto"/>
        <w:jc w:val="both"/>
        <w:rPr>
          <w:rFonts w:ascii="Times New Roman" w:hAnsi="Times New Roman" w:cs="Times New Roman"/>
          <w:szCs w:val="24"/>
        </w:rPr>
      </w:pPr>
      <w:r w:rsidRPr="00C74DE0">
        <w:rPr>
          <w:rFonts w:ascii="Times New Roman" w:hAnsi="Times New Roman" w:cs="Times New Roman"/>
          <w:szCs w:val="24"/>
        </w:rPr>
        <w:t>Destructive Criticism (</w:t>
      </w:r>
      <w:r w:rsidRPr="00C74DE0">
        <w:rPr>
          <w:rFonts w:ascii="Times New Roman" w:hAnsi="Times New Roman" w:cs="Times New Roman"/>
          <w:i/>
          <w:szCs w:val="24"/>
        </w:rPr>
        <w:t>Vitaṇḍā</w:t>
      </w:r>
      <w:r w:rsidRPr="00C74DE0">
        <w:rPr>
          <w:rFonts w:ascii="Times New Roman" w:hAnsi="Times New Roman" w:cs="Times New Roman"/>
          <w:szCs w:val="24"/>
        </w:rPr>
        <w:t>),</w:t>
      </w:r>
    </w:p>
    <w:p w14:paraId="7B47CC99" w14:textId="77777777" w:rsidR="00C74DE0" w:rsidRPr="00C74DE0" w:rsidRDefault="00C74DE0" w:rsidP="00C74DE0">
      <w:pPr>
        <w:pStyle w:val="ListParagraph"/>
        <w:numPr>
          <w:ilvl w:val="0"/>
          <w:numId w:val="9"/>
        </w:numPr>
        <w:spacing w:line="360" w:lineRule="auto"/>
        <w:jc w:val="both"/>
        <w:rPr>
          <w:rFonts w:ascii="Times New Roman" w:hAnsi="Times New Roman" w:cs="Times New Roman"/>
          <w:szCs w:val="24"/>
        </w:rPr>
      </w:pPr>
      <w:r w:rsidRPr="00C74DE0">
        <w:rPr>
          <w:rFonts w:ascii="Times New Roman" w:hAnsi="Times New Roman" w:cs="Times New Roman"/>
          <w:szCs w:val="24"/>
        </w:rPr>
        <w:t>Pseudo-probans (</w:t>
      </w:r>
      <w:r w:rsidRPr="00C74DE0">
        <w:rPr>
          <w:rFonts w:ascii="Times New Roman" w:hAnsi="Times New Roman" w:cs="Times New Roman"/>
          <w:i/>
          <w:szCs w:val="24"/>
        </w:rPr>
        <w:t>Hetvābhāsa</w:t>
      </w:r>
      <w:r w:rsidRPr="00C74DE0">
        <w:rPr>
          <w:rFonts w:ascii="Times New Roman" w:hAnsi="Times New Roman" w:cs="Times New Roman"/>
          <w:szCs w:val="24"/>
        </w:rPr>
        <w:t>),</w:t>
      </w:r>
    </w:p>
    <w:p w14:paraId="0C8104F4" w14:textId="77777777" w:rsidR="00C74DE0" w:rsidRPr="00C74DE0" w:rsidRDefault="00C74DE0" w:rsidP="00C74DE0">
      <w:pPr>
        <w:pStyle w:val="ListParagraph"/>
        <w:numPr>
          <w:ilvl w:val="0"/>
          <w:numId w:val="9"/>
        </w:numPr>
        <w:spacing w:line="360" w:lineRule="auto"/>
        <w:jc w:val="both"/>
        <w:rPr>
          <w:rFonts w:ascii="Times New Roman" w:hAnsi="Times New Roman" w:cs="Times New Roman"/>
          <w:szCs w:val="24"/>
        </w:rPr>
      </w:pPr>
      <w:r w:rsidRPr="00C74DE0">
        <w:rPr>
          <w:rFonts w:ascii="Times New Roman" w:hAnsi="Times New Roman" w:cs="Times New Roman"/>
          <w:szCs w:val="24"/>
        </w:rPr>
        <w:t>Purposive Distortion of the opponent (</w:t>
      </w:r>
      <w:r w:rsidRPr="00C74DE0">
        <w:rPr>
          <w:rFonts w:ascii="Times New Roman" w:hAnsi="Times New Roman" w:cs="Times New Roman"/>
          <w:i/>
          <w:szCs w:val="24"/>
        </w:rPr>
        <w:t>Chala</w:t>
      </w:r>
      <w:r w:rsidRPr="00C74DE0">
        <w:rPr>
          <w:rFonts w:ascii="Times New Roman" w:hAnsi="Times New Roman" w:cs="Times New Roman"/>
          <w:szCs w:val="24"/>
        </w:rPr>
        <w:t>),</w:t>
      </w:r>
    </w:p>
    <w:p w14:paraId="4CA7CE25" w14:textId="77777777" w:rsidR="00C74DE0" w:rsidRPr="00C74DE0" w:rsidRDefault="00C74DE0" w:rsidP="00C74DE0">
      <w:pPr>
        <w:pStyle w:val="ListParagraph"/>
        <w:numPr>
          <w:ilvl w:val="0"/>
          <w:numId w:val="9"/>
        </w:numPr>
        <w:spacing w:line="360" w:lineRule="auto"/>
        <w:jc w:val="both"/>
        <w:rPr>
          <w:rFonts w:ascii="Times New Roman" w:hAnsi="Times New Roman" w:cs="Times New Roman"/>
          <w:szCs w:val="24"/>
        </w:rPr>
      </w:pPr>
      <w:r w:rsidRPr="00C74DE0">
        <w:rPr>
          <w:rFonts w:ascii="Times New Roman" w:hAnsi="Times New Roman" w:cs="Times New Roman"/>
          <w:szCs w:val="24"/>
        </w:rPr>
        <w:t>Futile Rejoinder based on mere Similarity or Dissimilarity (</w:t>
      </w:r>
      <w:r w:rsidRPr="00C74DE0">
        <w:rPr>
          <w:rFonts w:ascii="Times New Roman" w:hAnsi="Times New Roman" w:cs="Times New Roman"/>
          <w:i/>
          <w:szCs w:val="24"/>
        </w:rPr>
        <w:t>Jāti</w:t>
      </w:r>
      <w:r w:rsidRPr="00C74DE0">
        <w:rPr>
          <w:rFonts w:ascii="Times New Roman" w:hAnsi="Times New Roman" w:cs="Times New Roman"/>
          <w:szCs w:val="24"/>
        </w:rPr>
        <w:t>) and</w:t>
      </w:r>
    </w:p>
    <w:p w14:paraId="5C9C428C" w14:textId="77777777" w:rsidR="00C74DE0" w:rsidRPr="00C74DE0" w:rsidRDefault="00C74DE0" w:rsidP="00C74DE0">
      <w:pPr>
        <w:pStyle w:val="ListParagraph"/>
        <w:numPr>
          <w:ilvl w:val="0"/>
          <w:numId w:val="9"/>
        </w:numPr>
        <w:spacing w:line="360" w:lineRule="auto"/>
        <w:jc w:val="both"/>
        <w:rPr>
          <w:rFonts w:ascii="Times New Roman" w:hAnsi="Times New Roman" w:cs="Times New Roman"/>
          <w:szCs w:val="24"/>
        </w:rPr>
      </w:pPr>
      <w:r w:rsidRPr="00C74DE0">
        <w:rPr>
          <w:rFonts w:ascii="Times New Roman" w:hAnsi="Times New Roman" w:cs="Times New Roman"/>
          <w:szCs w:val="24"/>
        </w:rPr>
        <w:t>Point of Defeat (</w:t>
      </w:r>
      <w:r w:rsidRPr="00C74DE0">
        <w:rPr>
          <w:rFonts w:ascii="Times New Roman" w:hAnsi="Times New Roman" w:cs="Times New Roman"/>
          <w:i/>
          <w:szCs w:val="24"/>
        </w:rPr>
        <w:t>Nigrahasthāna</w:t>
      </w:r>
      <w:r w:rsidRPr="00C74DE0">
        <w:rPr>
          <w:rFonts w:ascii="Times New Roman" w:hAnsi="Times New Roman" w:cs="Times New Roman"/>
          <w:szCs w:val="24"/>
        </w:rPr>
        <w:t>) - (</w:t>
      </w:r>
      <w:r w:rsidRPr="00C74DE0">
        <w:rPr>
          <w:rFonts w:ascii="Times New Roman" w:hAnsi="Times New Roman" w:cs="Times New Roman"/>
          <w:i/>
          <w:szCs w:val="24"/>
        </w:rPr>
        <w:t>Nyāya-sūtra</w:t>
      </w:r>
      <w:r w:rsidRPr="00C74DE0">
        <w:rPr>
          <w:rFonts w:ascii="Times New Roman" w:hAnsi="Times New Roman" w:cs="Times New Roman"/>
          <w:iCs/>
          <w:szCs w:val="24"/>
        </w:rPr>
        <w:t>-1</w:t>
      </w:r>
      <w:r w:rsidRPr="00C74DE0">
        <w:rPr>
          <w:rFonts w:ascii="Times New Roman" w:hAnsi="Times New Roman" w:cs="Times New Roman"/>
          <w:szCs w:val="24"/>
        </w:rPr>
        <w:t>.1.1)</w:t>
      </w:r>
    </w:p>
    <w:p w14:paraId="71B1DE48" w14:textId="368B84D8"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Right knowledge of these categories is conducive to attaining the highest good (</w:t>
      </w:r>
      <w:r w:rsidRPr="00C74DE0">
        <w:rPr>
          <w:rFonts w:ascii="Times New Roman" w:hAnsi="Times New Roman" w:cs="Times New Roman"/>
          <w:i/>
          <w:szCs w:val="24"/>
        </w:rPr>
        <w:t>Niḥśreyasa</w:t>
      </w:r>
      <w:r w:rsidRPr="00C74DE0">
        <w:rPr>
          <w:rFonts w:ascii="Times New Roman" w:hAnsi="Times New Roman" w:cs="Times New Roman"/>
          <w:szCs w:val="24"/>
        </w:rPr>
        <w:t xml:space="preserve">). Vātsyāyana took up the discussion by clarifying the structure of the first </w:t>
      </w:r>
      <w:r w:rsidRPr="00C74DE0">
        <w:rPr>
          <w:rFonts w:ascii="Times New Roman" w:hAnsi="Times New Roman" w:cs="Times New Roman"/>
          <w:i/>
          <w:szCs w:val="24"/>
        </w:rPr>
        <w:t xml:space="preserve">sūtra </w:t>
      </w:r>
      <w:r w:rsidRPr="00C74DE0">
        <w:rPr>
          <w:rFonts w:ascii="Times New Roman" w:hAnsi="Times New Roman" w:cs="Times New Roman"/>
          <w:szCs w:val="24"/>
        </w:rPr>
        <w:t xml:space="preserve">given by Gautama. He argued that the </w:t>
      </w:r>
      <w:r w:rsidRPr="00C74DE0">
        <w:rPr>
          <w:rFonts w:ascii="Times New Roman" w:hAnsi="Times New Roman" w:cs="Times New Roman"/>
          <w:i/>
          <w:szCs w:val="24"/>
        </w:rPr>
        <w:t xml:space="preserve">summum bonum </w:t>
      </w:r>
      <w:r w:rsidRPr="00C74DE0">
        <w:rPr>
          <w:rFonts w:ascii="Times New Roman" w:hAnsi="Times New Roman" w:cs="Times New Roman"/>
          <w:szCs w:val="24"/>
        </w:rPr>
        <w:t xml:space="preserve">is obtained by the true cognition of the (twelve) objects of knowledge, namely, </w:t>
      </w:r>
      <w:r w:rsidRPr="00C74DE0">
        <w:rPr>
          <w:rFonts w:ascii="Times New Roman" w:hAnsi="Times New Roman" w:cs="Times New Roman"/>
          <w:i/>
          <w:szCs w:val="24"/>
        </w:rPr>
        <w:t>ātman</w:t>
      </w:r>
      <w:r w:rsidRPr="00C74DE0">
        <w:rPr>
          <w:rFonts w:ascii="Times New Roman" w:hAnsi="Times New Roman" w:cs="Times New Roman"/>
          <w:szCs w:val="24"/>
        </w:rPr>
        <w:t xml:space="preserve">, </w:t>
      </w:r>
      <w:r w:rsidRPr="00C74DE0">
        <w:rPr>
          <w:rFonts w:ascii="Times New Roman" w:hAnsi="Times New Roman" w:cs="Times New Roman"/>
          <w:i/>
          <w:szCs w:val="24"/>
        </w:rPr>
        <w:t>śarira</w:t>
      </w:r>
      <w:r w:rsidRPr="00C74DE0">
        <w:rPr>
          <w:rFonts w:ascii="Times New Roman" w:hAnsi="Times New Roman" w:cs="Times New Roman"/>
          <w:szCs w:val="24"/>
        </w:rPr>
        <w:t xml:space="preserve">, </w:t>
      </w:r>
      <w:r w:rsidRPr="00C74DE0">
        <w:rPr>
          <w:rFonts w:ascii="Times New Roman" w:hAnsi="Times New Roman" w:cs="Times New Roman"/>
          <w:i/>
          <w:szCs w:val="24"/>
        </w:rPr>
        <w:t>indriya,</w:t>
      </w:r>
      <w:r w:rsidRPr="00C74DE0">
        <w:rPr>
          <w:rFonts w:ascii="Times New Roman" w:hAnsi="Times New Roman" w:cs="Times New Roman"/>
          <w:szCs w:val="24"/>
        </w:rPr>
        <w:t xml:space="preserve"> etc. This is explained in the second </w:t>
      </w:r>
      <w:r w:rsidRPr="00C74DE0">
        <w:rPr>
          <w:rFonts w:ascii="Times New Roman" w:hAnsi="Times New Roman" w:cs="Times New Roman"/>
          <w:i/>
          <w:szCs w:val="24"/>
        </w:rPr>
        <w:t>sūtra</w:t>
      </w:r>
      <w:r w:rsidRPr="00C74DE0">
        <w:rPr>
          <w:rFonts w:ascii="Times New Roman" w:hAnsi="Times New Roman" w:cs="Times New Roman"/>
          <w:szCs w:val="24"/>
        </w:rPr>
        <w:t xml:space="preserve"> given by Gautama. Vātsyāyana identified that one can acquire </w:t>
      </w:r>
      <w:r w:rsidRPr="00C74DE0">
        <w:rPr>
          <w:rFonts w:ascii="Times New Roman" w:hAnsi="Times New Roman" w:cs="Times New Roman"/>
          <w:i/>
          <w:szCs w:val="24"/>
        </w:rPr>
        <w:t xml:space="preserve">summam bonum </w:t>
      </w:r>
      <w:r w:rsidRPr="00C74DE0">
        <w:rPr>
          <w:rFonts w:ascii="Times New Roman" w:hAnsi="Times New Roman" w:cs="Times New Roman"/>
          <w:szCs w:val="24"/>
        </w:rPr>
        <w:t xml:space="preserve">by the true cognition of </w:t>
      </w:r>
      <w:r w:rsidR="00985139">
        <w:rPr>
          <w:rFonts w:ascii="Times New Roman" w:hAnsi="Times New Roman" w:cs="Times New Roman"/>
          <w:szCs w:val="24"/>
        </w:rPr>
        <w:t xml:space="preserve">the </w:t>
      </w:r>
      <w:r w:rsidRPr="00C74DE0">
        <w:rPr>
          <w:rFonts w:ascii="Times New Roman" w:hAnsi="Times New Roman" w:cs="Times New Roman"/>
          <w:szCs w:val="24"/>
        </w:rPr>
        <w:t>four human concerns or ‘</w:t>
      </w:r>
      <w:r w:rsidRPr="00C74DE0">
        <w:rPr>
          <w:rFonts w:ascii="Times New Roman" w:hAnsi="Times New Roman" w:cs="Times New Roman"/>
          <w:i/>
          <w:szCs w:val="24"/>
        </w:rPr>
        <w:t>arthapāda</w:t>
      </w:r>
      <w:r w:rsidRPr="00C74DE0">
        <w:rPr>
          <w:rFonts w:ascii="Times New Roman" w:hAnsi="Times New Roman" w:cs="Times New Roman"/>
          <w:szCs w:val="24"/>
        </w:rPr>
        <w:t>’. These are as follows:</w:t>
      </w:r>
    </w:p>
    <w:p w14:paraId="4FA95FCC" w14:textId="77777777" w:rsidR="00C74DE0" w:rsidRPr="00C74DE0" w:rsidRDefault="00C74DE0" w:rsidP="00C74DE0">
      <w:pPr>
        <w:spacing w:line="360" w:lineRule="auto"/>
        <w:ind w:left="720" w:right="720"/>
        <w:jc w:val="both"/>
        <w:rPr>
          <w:rFonts w:ascii="Times New Roman" w:hAnsi="Times New Roman" w:cs="Times New Roman"/>
          <w:szCs w:val="24"/>
        </w:rPr>
      </w:pPr>
      <w:r w:rsidRPr="00C74DE0">
        <w:rPr>
          <w:rFonts w:ascii="Times New Roman" w:hAnsi="Times New Roman" w:cs="Times New Roman"/>
          <w:szCs w:val="24"/>
        </w:rPr>
        <w:t>“(i) Suffering (</w:t>
      </w:r>
      <w:r w:rsidRPr="00C74DE0">
        <w:rPr>
          <w:rFonts w:ascii="Times New Roman" w:hAnsi="Times New Roman" w:cs="Times New Roman"/>
          <w:i/>
          <w:szCs w:val="24"/>
        </w:rPr>
        <w:t>heya</w:t>
      </w:r>
      <w:r w:rsidRPr="00C74DE0">
        <w:rPr>
          <w:rFonts w:ascii="Times New Roman" w:hAnsi="Times New Roman" w:cs="Times New Roman"/>
          <w:szCs w:val="24"/>
        </w:rPr>
        <w:t>, lit. ‘which is to be avoided’) and its cause,</w:t>
      </w:r>
    </w:p>
    <w:p w14:paraId="2FCD07D3" w14:textId="77777777" w:rsidR="00C74DE0" w:rsidRPr="00C74DE0" w:rsidRDefault="00C74DE0" w:rsidP="00C74DE0">
      <w:pPr>
        <w:spacing w:line="360" w:lineRule="auto"/>
        <w:ind w:left="720" w:right="720"/>
        <w:jc w:val="both"/>
        <w:rPr>
          <w:rFonts w:ascii="Times New Roman" w:hAnsi="Times New Roman" w:cs="Times New Roman"/>
          <w:szCs w:val="24"/>
        </w:rPr>
      </w:pPr>
      <w:r w:rsidRPr="00C74DE0">
        <w:rPr>
          <w:rFonts w:ascii="Times New Roman" w:hAnsi="Times New Roman" w:cs="Times New Roman"/>
          <w:szCs w:val="24"/>
        </w:rPr>
        <w:t xml:space="preserve"> (ii) Right knowledge (</w:t>
      </w:r>
      <w:r w:rsidRPr="00C74DE0">
        <w:rPr>
          <w:rFonts w:ascii="Times New Roman" w:hAnsi="Times New Roman" w:cs="Times New Roman"/>
          <w:i/>
          <w:szCs w:val="24"/>
        </w:rPr>
        <w:t xml:space="preserve">ātyantika-hāna, </w:t>
      </w:r>
      <w:r w:rsidRPr="00C74DE0">
        <w:rPr>
          <w:rFonts w:ascii="Times New Roman" w:hAnsi="Times New Roman" w:cs="Times New Roman"/>
          <w:szCs w:val="24"/>
        </w:rPr>
        <w:t>lit. ‘the cause of the absolute cessation of suffering’),</w:t>
      </w:r>
    </w:p>
    <w:p w14:paraId="67B20703" w14:textId="75F28097" w:rsidR="00C74DE0" w:rsidRPr="00C74DE0" w:rsidRDefault="00C74DE0" w:rsidP="00C74DE0">
      <w:pPr>
        <w:spacing w:line="360" w:lineRule="auto"/>
        <w:ind w:left="720" w:right="720"/>
        <w:jc w:val="both"/>
        <w:rPr>
          <w:rFonts w:ascii="Times New Roman" w:hAnsi="Times New Roman" w:cs="Times New Roman"/>
          <w:szCs w:val="24"/>
        </w:rPr>
      </w:pPr>
      <w:r w:rsidRPr="00C74DE0">
        <w:rPr>
          <w:rFonts w:ascii="Times New Roman" w:hAnsi="Times New Roman" w:cs="Times New Roman"/>
          <w:szCs w:val="24"/>
        </w:rPr>
        <w:t xml:space="preserve"> (iii) The means of attaining that right knowledge (i.e.</w:t>
      </w:r>
      <w:r w:rsidR="00985139">
        <w:rPr>
          <w:rFonts w:ascii="Times New Roman" w:hAnsi="Times New Roman" w:cs="Times New Roman"/>
          <w:szCs w:val="24"/>
        </w:rPr>
        <w:t>,</w:t>
      </w:r>
      <w:r w:rsidRPr="00C74DE0">
        <w:rPr>
          <w:rFonts w:ascii="Times New Roman" w:hAnsi="Times New Roman" w:cs="Times New Roman"/>
          <w:szCs w:val="24"/>
        </w:rPr>
        <w:t xml:space="preserve"> the present </w:t>
      </w:r>
      <w:r w:rsidRPr="00C74DE0">
        <w:rPr>
          <w:rFonts w:ascii="Times New Roman" w:hAnsi="Times New Roman" w:cs="Times New Roman"/>
          <w:i/>
          <w:szCs w:val="24"/>
        </w:rPr>
        <w:t>sāstra</w:t>
      </w:r>
      <w:r w:rsidRPr="00C74DE0">
        <w:rPr>
          <w:rFonts w:ascii="Times New Roman" w:hAnsi="Times New Roman" w:cs="Times New Roman"/>
          <w:szCs w:val="24"/>
        </w:rPr>
        <w:t>) and</w:t>
      </w:r>
    </w:p>
    <w:p w14:paraId="33C3E45E" w14:textId="77777777" w:rsidR="00C74DE0" w:rsidRPr="00C74DE0" w:rsidRDefault="00C74DE0" w:rsidP="00C74DE0">
      <w:pPr>
        <w:spacing w:line="360" w:lineRule="auto"/>
        <w:ind w:left="720" w:right="720"/>
        <w:jc w:val="both"/>
        <w:rPr>
          <w:rFonts w:ascii="Times New Roman" w:hAnsi="Times New Roman" w:cs="Times New Roman"/>
          <w:szCs w:val="24"/>
        </w:rPr>
      </w:pPr>
      <w:r w:rsidRPr="00C74DE0">
        <w:rPr>
          <w:rFonts w:ascii="Times New Roman" w:hAnsi="Times New Roman" w:cs="Times New Roman"/>
          <w:szCs w:val="24"/>
        </w:rPr>
        <w:t xml:space="preserve"> (iv) Liberation (</w:t>
      </w:r>
      <w:r w:rsidRPr="00C74DE0">
        <w:rPr>
          <w:rFonts w:ascii="Times New Roman" w:hAnsi="Times New Roman" w:cs="Times New Roman"/>
          <w:i/>
          <w:szCs w:val="24"/>
        </w:rPr>
        <w:t>adhigantavyo</w:t>
      </w:r>
      <w:r w:rsidRPr="00C74DE0">
        <w:rPr>
          <w:rFonts w:ascii="Times New Roman" w:hAnsi="Times New Roman" w:cs="Times New Roman"/>
          <w:szCs w:val="24"/>
        </w:rPr>
        <w:t>, lit. ‘the ultimate goal’).” (Ibid., p. 10)</w:t>
      </w:r>
    </w:p>
    <w:p w14:paraId="7D1CC1A9" w14:textId="2C01D73F" w:rsidR="00C74DE0" w:rsidRPr="00C74DE0" w:rsidRDefault="00C74DE0" w:rsidP="00C74DE0">
      <w:pPr>
        <w:pStyle w:val="NormalWeb"/>
        <w:spacing w:line="360" w:lineRule="auto"/>
        <w:jc w:val="both"/>
      </w:pPr>
      <w:r w:rsidRPr="00C74DE0">
        <w:t xml:space="preserve">Vātsyāyana’s commentary suggests that </w:t>
      </w:r>
      <w:r w:rsidR="00985139">
        <w:t>four human concerns underlie</w:t>
      </w:r>
      <w:r w:rsidRPr="00C74DE0">
        <w:t xml:space="preserve"> the ultimate goal of liberation (</w:t>
      </w:r>
      <w:r w:rsidRPr="00C74DE0">
        <w:rPr>
          <w:i/>
        </w:rPr>
        <w:t>summum bonum</w:t>
      </w:r>
      <w:r w:rsidRPr="00C74DE0">
        <w:t xml:space="preserve">). For this reason, the question arises of whether the categories given by Gautama directly help </w:t>
      </w:r>
      <w:r w:rsidRPr="00C74DE0">
        <w:rPr>
          <w:i/>
        </w:rPr>
        <w:t>summum bonum</w:t>
      </w:r>
      <w:r w:rsidRPr="00C74DE0">
        <w:rPr>
          <w:iCs/>
        </w:rPr>
        <w:t>.</w:t>
      </w:r>
      <w:r w:rsidRPr="00C74DE0">
        <w:t xml:space="preserve"> If so, then how can that be possible, and how is the right knowledge of jalpa, vitandā</w:t>
      </w:r>
      <w:r w:rsidR="00985139">
        <w:t>,</w:t>
      </w:r>
      <w:r w:rsidRPr="00C74DE0">
        <w:t xml:space="preserve"> or chala directly responsible for the </w:t>
      </w:r>
      <w:r w:rsidRPr="00C74DE0">
        <w:rPr>
          <w:i/>
          <w:iCs/>
        </w:rPr>
        <w:t>summum</w:t>
      </w:r>
      <w:r w:rsidRPr="00C74DE0">
        <w:rPr>
          <w:i/>
        </w:rPr>
        <w:t xml:space="preserve"> bonum</w:t>
      </w:r>
      <w:r w:rsidRPr="00C74DE0">
        <w:t xml:space="preserve">? Vātsyāyana's commentary on Gautama's first </w:t>
      </w:r>
      <w:r w:rsidRPr="00C74DE0">
        <w:rPr>
          <w:i/>
          <w:iCs/>
        </w:rPr>
        <w:t>sūtra</w:t>
      </w:r>
      <w:r w:rsidRPr="00C74DE0">
        <w:t xml:space="preserve"> argues that the true cognition of the sixteen categories is the path to liberation (</w:t>
      </w:r>
      <w:r w:rsidRPr="00C74DE0">
        <w:rPr>
          <w:i/>
          <w:iCs/>
        </w:rPr>
        <w:t>summum bonum</w:t>
      </w:r>
      <w:r w:rsidRPr="00C74DE0">
        <w:t xml:space="preserve">). However, he makes a crucial distinction: while all sixteen categories are necessary, they do not all contribute to liberation in the same way. He writes- “of these categories, the knowledge of what Gautama technically calls </w:t>
      </w:r>
      <w:r w:rsidRPr="00C74DE0">
        <w:rPr>
          <w:i/>
        </w:rPr>
        <w:t>prameya</w:t>
      </w:r>
      <w:r w:rsidRPr="00C74DE0">
        <w:t xml:space="preserve"> </w:t>
      </w:r>
      <w:r w:rsidRPr="00C74DE0">
        <w:lastRenderedPageBreak/>
        <w:t>(</w:t>
      </w:r>
      <w:r w:rsidRPr="00C74DE0">
        <w:rPr>
          <w:i/>
        </w:rPr>
        <w:t xml:space="preserve">prameya </w:t>
      </w:r>
      <w:r w:rsidRPr="00C74DE0">
        <w:t xml:space="preserve">means object of valid knowledge) is directly conducive to the </w:t>
      </w:r>
      <w:r w:rsidRPr="00C74DE0">
        <w:rPr>
          <w:i/>
        </w:rPr>
        <w:t>summum bonum</w:t>
      </w:r>
      <w:r w:rsidRPr="00C74DE0">
        <w:t>. But Gautama restricts its use to only twelve such objects,” (Ibid., p. 11).</w:t>
      </w:r>
    </w:p>
    <w:p w14:paraId="533E7697" w14:textId="77777777" w:rsidR="00C74DE0" w:rsidRPr="00C74DE0" w:rsidRDefault="00C74DE0" w:rsidP="00C74DE0">
      <w:pPr>
        <w:pStyle w:val="NormalWeb"/>
        <w:spacing w:line="360" w:lineRule="auto"/>
        <w:jc w:val="both"/>
      </w:pPr>
      <w:r w:rsidRPr="00C74DE0">
        <w:t xml:space="preserve">According to Vātsyāyana, the </w:t>
      </w:r>
      <w:r w:rsidRPr="00C74DE0">
        <w:rPr>
          <w:i/>
          <w:iCs/>
        </w:rPr>
        <w:t>prameya</w:t>
      </w:r>
      <w:r w:rsidRPr="00C74DE0">
        <w:t xml:space="preserve"> (objects of valid knowledge) are the direct means to liberation. These are the twelve objects of knowledge, such as the </w:t>
      </w:r>
      <w:r w:rsidRPr="00C74DE0">
        <w:rPr>
          <w:i/>
          <w:iCs/>
        </w:rPr>
        <w:t>ātman</w:t>
      </w:r>
      <w:r w:rsidRPr="00C74DE0">
        <w:t xml:space="preserve"> (self), </w:t>
      </w:r>
      <w:r w:rsidRPr="00C74DE0">
        <w:rPr>
          <w:i/>
          <w:iCs/>
        </w:rPr>
        <w:t>śarira</w:t>
      </w:r>
      <w:r w:rsidRPr="00C74DE0">
        <w:t xml:space="preserve"> (body), and </w:t>
      </w:r>
      <w:r w:rsidRPr="00C74DE0">
        <w:rPr>
          <w:i/>
          <w:iCs/>
        </w:rPr>
        <w:t>indriya</w:t>
      </w:r>
      <w:r w:rsidRPr="00C74DE0">
        <w:t xml:space="preserve"> (senses), which are described in Gautama's second sūtra. It is the direct knowledge of these specific </w:t>
      </w:r>
      <w:r w:rsidRPr="00C74DE0">
        <w:rPr>
          <w:i/>
          <w:iCs/>
        </w:rPr>
        <w:t>prameyas</w:t>
      </w:r>
      <w:r w:rsidRPr="00C74DE0">
        <w:t xml:space="preserve"> that leads to the cessation of suffering and the attainment of the highest good (</w:t>
      </w:r>
      <w:r w:rsidRPr="00C74DE0">
        <w:rPr>
          <w:i/>
          <w:iCs/>
        </w:rPr>
        <w:t>niḥśreyasa</w:t>
      </w:r>
      <w:r w:rsidRPr="00C74DE0">
        <w:t xml:space="preserve">). The other fourteen categories (e.g., </w:t>
      </w:r>
      <w:r w:rsidRPr="00C74DE0">
        <w:rPr>
          <w:i/>
          <w:iCs/>
        </w:rPr>
        <w:t>jalpa</w:t>
      </w:r>
      <w:r w:rsidRPr="00C74DE0">
        <w:t xml:space="preserve">, </w:t>
      </w:r>
      <w:r w:rsidRPr="00C74DE0">
        <w:rPr>
          <w:i/>
          <w:iCs/>
        </w:rPr>
        <w:t>vitandā</w:t>
      </w:r>
      <w:r w:rsidRPr="00C74DE0">
        <w:t xml:space="preserve">, and </w:t>
      </w:r>
      <w:r w:rsidRPr="00C74DE0">
        <w:rPr>
          <w:i/>
          <w:iCs/>
        </w:rPr>
        <w:t>chala</w:t>
      </w:r>
      <w:r w:rsidRPr="00C74DE0">
        <w:t xml:space="preserve">) are considered indirect causes of liberation. These categories serve as tools to establish the truth and refute false arguments. Therefore, their role is to protect and support the valid knowledge of the </w:t>
      </w:r>
      <w:r w:rsidRPr="00C74DE0">
        <w:rPr>
          <w:i/>
          <w:iCs/>
        </w:rPr>
        <w:t>prameya</w:t>
      </w:r>
      <w:r w:rsidRPr="00C74DE0">
        <w:t>. In essence, they are instrumental to the ultimate goal, but they are not the goal itself.</w:t>
      </w:r>
      <w:bookmarkStart w:id="6" w:name="_Hlk209711318"/>
    </w:p>
    <w:p w14:paraId="1E5864FC" w14:textId="77777777" w:rsidR="00C74DE0" w:rsidRPr="00C74DE0" w:rsidRDefault="00C74DE0" w:rsidP="00C74DE0">
      <w:pPr>
        <w:pStyle w:val="NormalWeb"/>
        <w:spacing w:line="360" w:lineRule="auto"/>
        <w:jc w:val="both"/>
      </w:pPr>
      <w:r w:rsidRPr="00C74DE0">
        <w:t xml:space="preserve">Following the above interpretation, there might be challenges that can arise from Vātsyāyana's commentary on the point that the original </w:t>
      </w:r>
      <w:r w:rsidRPr="00C74DE0">
        <w:rPr>
          <w:i/>
          <w:iCs/>
        </w:rPr>
        <w:t>sūtra</w:t>
      </w:r>
      <w:r w:rsidRPr="00C74DE0">
        <w:t xml:space="preserve"> (1.1.1) does not explicitly state that the </w:t>
      </w:r>
      <w:r w:rsidRPr="00C74DE0">
        <w:rPr>
          <w:i/>
          <w:iCs/>
        </w:rPr>
        <w:t>prameya</w:t>
      </w:r>
      <w:r w:rsidRPr="00C74DE0">
        <w:t xml:space="preserve"> is a direct cause and the other categories are indirect. This raises the question of whether Vātsyāyana’s interpretation is truly what Gautama intended. </w:t>
      </w:r>
      <w:bookmarkEnd w:id="6"/>
      <w:r w:rsidRPr="00C74DE0">
        <w:t xml:space="preserve">I support the interpretation that Vātsyāyana’s commentary provides a structured framework for understanding Gautama’s </w:t>
      </w:r>
      <w:r w:rsidRPr="00C74DE0">
        <w:rPr>
          <w:i/>
          <w:iCs/>
        </w:rPr>
        <w:t>sūtra</w:t>
      </w:r>
      <w:r w:rsidRPr="00C74DE0">
        <w:t xml:space="preserve">. Even if we acknowledge the interpretive gap, his analysis helps to resolve the apparent contradiction of how categories like </w:t>
      </w:r>
      <w:r w:rsidRPr="00C74DE0">
        <w:rPr>
          <w:i/>
          <w:iCs/>
        </w:rPr>
        <w:t>Jalpa</w:t>
      </w:r>
      <w:r w:rsidRPr="00C74DE0">
        <w:t xml:space="preserve">, </w:t>
      </w:r>
      <w:r w:rsidRPr="00C74DE0">
        <w:rPr>
          <w:i/>
          <w:iCs/>
        </w:rPr>
        <w:t>Vitandā</w:t>
      </w:r>
      <w:r w:rsidRPr="00C74DE0">
        <w:t xml:space="preserve">, and </w:t>
      </w:r>
      <w:r w:rsidRPr="00C74DE0">
        <w:rPr>
          <w:i/>
          <w:iCs/>
        </w:rPr>
        <w:t>Chala</w:t>
      </w:r>
      <w:r w:rsidRPr="00C74DE0">
        <w:t xml:space="preserve"> help us gain knowledge of the </w:t>
      </w:r>
      <w:r w:rsidRPr="00C74DE0">
        <w:rPr>
          <w:i/>
          <w:iCs/>
        </w:rPr>
        <w:t>prameyas</w:t>
      </w:r>
      <w:r w:rsidRPr="00C74DE0">
        <w:t>. By establishing the direct</w:t>
      </w:r>
      <w:r w:rsidRPr="00C74DE0">
        <w:rPr>
          <w:b/>
          <w:bCs/>
        </w:rPr>
        <w:t xml:space="preserve"> </w:t>
      </w:r>
      <w:r w:rsidRPr="00C74DE0">
        <w:t>and</w:t>
      </w:r>
      <w:r w:rsidRPr="00C74DE0">
        <w:rPr>
          <w:b/>
          <w:bCs/>
        </w:rPr>
        <w:t xml:space="preserve"> </w:t>
      </w:r>
      <w:r w:rsidRPr="00C74DE0">
        <w:t xml:space="preserve">indirect relationship, Vātsyāyana offers a logical and coherent explanation that makes the entire system of categories intelligible within the context of attaining </w:t>
      </w:r>
      <w:r w:rsidRPr="00C74DE0">
        <w:rPr>
          <w:i/>
          <w:iCs/>
        </w:rPr>
        <w:t>summum bonum</w:t>
      </w:r>
      <w:r w:rsidRPr="00C74DE0">
        <w:t>. Thus, understanding the significance of these categories requires attention to Vātsyāyana’s nuanced and clarifying commentary.</w:t>
      </w:r>
    </w:p>
    <w:p w14:paraId="4026E120" w14:textId="77777777" w:rsidR="00C74DE0" w:rsidRPr="00C74DE0" w:rsidRDefault="00C74DE0" w:rsidP="00C74DE0">
      <w:pPr>
        <w:spacing w:line="360" w:lineRule="auto"/>
        <w:jc w:val="both"/>
        <w:rPr>
          <w:rFonts w:ascii="Times New Roman" w:hAnsi="Times New Roman" w:cs="Times New Roman"/>
          <w:b/>
          <w:bCs/>
          <w:szCs w:val="24"/>
        </w:rPr>
      </w:pPr>
      <w:r w:rsidRPr="00C74DE0">
        <w:rPr>
          <w:rFonts w:ascii="Times New Roman" w:hAnsi="Times New Roman" w:cs="Times New Roman"/>
          <w:b/>
          <w:bCs/>
          <w:szCs w:val="24"/>
        </w:rPr>
        <w:t xml:space="preserve">The Significance of Categories in Gautama's </w:t>
      </w:r>
      <w:r w:rsidRPr="00C74DE0">
        <w:rPr>
          <w:rFonts w:ascii="Times New Roman" w:hAnsi="Times New Roman" w:cs="Times New Roman"/>
          <w:b/>
          <w:bCs/>
          <w:i/>
          <w:szCs w:val="24"/>
        </w:rPr>
        <w:t>Nyāya-sūtra</w:t>
      </w:r>
      <w:r w:rsidRPr="00C74DE0">
        <w:rPr>
          <w:rFonts w:ascii="Times New Roman" w:hAnsi="Times New Roman" w:cs="Times New Roman"/>
          <w:b/>
          <w:bCs/>
          <w:iCs/>
          <w:szCs w:val="24"/>
        </w:rPr>
        <w:t>-1</w:t>
      </w:r>
      <w:r w:rsidRPr="00C74DE0">
        <w:rPr>
          <w:rFonts w:ascii="Times New Roman" w:hAnsi="Times New Roman" w:cs="Times New Roman"/>
          <w:b/>
          <w:bCs/>
          <w:szCs w:val="24"/>
        </w:rPr>
        <w:t>.1.1</w:t>
      </w:r>
    </w:p>
    <w:p w14:paraId="2E9770B4" w14:textId="2B43F00F"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 xml:space="preserve">In Nyāya philosophy, </w:t>
      </w:r>
      <w:r w:rsidRPr="00C74DE0">
        <w:rPr>
          <w:rStyle w:val="Emphasis"/>
          <w:rFonts w:ascii="Times New Roman" w:hAnsi="Times New Roman" w:cs="Times New Roman"/>
          <w:szCs w:val="24"/>
        </w:rPr>
        <w:t>pramāṇa</w:t>
      </w:r>
      <w:r w:rsidRPr="00C74DE0">
        <w:rPr>
          <w:rFonts w:ascii="Times New Roman" w:hAnsi="Times New Roman" w:cs="Times New Roman"/>
          <w:szCs w:val="24"/>
        </w:rPr>
        <w:t xml:space="preserve"> (valid means of knowledge) and </w:t>
      </w:r>
      <w:r w:rsidRPr="00C74DE0">
        <w:rPr>
          <w:rStyle w:val="Emphasis"/>
          <w:rFonts w:ascii="Times New Roman" w:hAnsi="Times New Roman" w:cs="Times New Roman"/>
          <w:szCs w:val="24"/>
        </w:rPr>
        <w:t>prameya</w:t>
      </w:r>
      <w:r w:rsidRPr="00C74DE0">
        <w:rPr>
          <w:rFonts w:ascii="Times New Roman" w:hAnsi="Times New Roman" w:cs="Times New Roman"/>
          <w:szCs w:val="24"/>
        </w:rPr>
        <w:t xml:space="preserve"> (objects of knowledge) are central to knowledge acquisition and the attainment of </w:t>
      </w:r>
      <w:r w:rsidRPr="00C74DE0">
        <w:rPr>
          <w:rStyle w:val="Emphasis"/>
          <w:rFonts w:ascii="Times New Roman" w:hAnsi="Times New Roman" w:cs="Times New Roman"/>
          <w:szCs w:val="24"/>
        </w:rPr>
        <w:t>apavarga</w:t>
      </w:r>
      <w:r w:rsidRPr="00C74DE0">
        <w:rPr>
          <w:rFonts w:ascii="Times New Roman" w:hAnsi="Times New Roman" w:cs="Times New Roman"/>
          <w:szCs w:val="24"/>
        </w:rPr>
        <w:t xml:space="preserve"> (liberation). </w:t>
      </w:r>
      <w:r w:rsidRPr="00C74DE0">
        <w:rPr>
          <w:rStyle w:val="Emphasis"/>
          <w:rFonts w:ascii="Times New Roman" w:hAnsi="Times New Roman" w:cs="Times New Roman"/>
          <w:szCs w:val="24"/>
        </w:rPr>
        <w:t>Pramāṇa</w:t>
      </w:r>
      <w:r w:rsidRPr="00C74DE0">
        <w:rPr>
          <w:rFonts w:ascii="Times New Roman" w:hAnsi="Times New Roman" w:cs="Times New Roman"/>
          <w:szCs w:val="24"/>
        </w:rPr>
        <w:t xml:space="preserve"> refers to the reliable instruments through which true knowledge is acquired, namely perception (</w:t>
      </w:r>
      <w:r w:rsidRPr="00C74DE0">
        <w:rPr>
          <w:rStyle w:val="Emphasis"/>
          <w:rFonts w:ascii="Times New Roman" w:hAnsi="Times New Roman" w:cs="Times New Roman"/>
          <w:szCs w:val="24"/>
        </w:rPr>
        <w:t>pratyakṣa</w:t>
      </w:r>
      <w:r w:rsidRPr="00C74DE0">
        <w:rPr>
          <w:rFonts w:ascii="Times New Roman" w:hAnsi="Times New Roman" w:cs="Times New Roman"/>
          <w:szCs w:val="24"/>
        </w:rPr>
        <w:t>), inference (</w:t>
      </w:r>
      <w:r w:rsidRPr="00C74DE0">
        <w:rPr>
          <w:rStyle w:val="Emphasis"/>
          <w:rFonts w:ascii="Times New Roman" w:hAnsi="Times New Roman" w:cs="Times New Roman"/>
          <w:szCs w:val="24"/>
        </w:rPr>
        <w:t>anumāna</w:t>
      </w:r>
      <w:r w:rsidRPr="00C74DE0">
        <w:rPr>
          <w:rFonts w:ascii="Times New Roman" w:hAnsi="Times New Roman" w:cs="Times New Roman"/>
          <w:szCs w:val="24"/>
        </w:rPr>
        <w:t>), comparison (</w:t>
      </w:r>
      <w:r w:rsidRPr="00C74DE0">
        <w:rPr>
          <w:rStyle w:val="Emphasis"/>
          <w:rFonts w:ascii="Times New Roman" w:hAnsi="Times New Roman" w:cs="Times New Roman"/>
          <w:szCs w:val="24"/>
        </w:rPr>
        <w:t>upamāna</w:t>
      </w:r>
      <w:r w:rsidRPr="00C74DE0">
        <w:rPr>
          <w:rFonts w:ascii="Times New Roman" w:hAnsi="Times New Roman" w:cs="Times New Roman"/>
          <w:szCs w:val="24"/>
        </w:rPr>
        <w:t>), and verbal testimony (</w:t>
      </w:r>
      <w:r w:rsidRPr="00C74DE0">
        <w:rPr>
          <w:rStyle w:val="Emphasis"/>
          <w:rFonts w:ascii="Times New Roman" w:hAnsi="Times New Roman" w:cs="Times New Roman"/>
          <w:szCs w:val="24"/>
        </w:rPr>
        <w:t>śabda</w:t>
      </w:r>
      <w:r w:rsidRPr="00C74DE0">
        <w:rPr>
          <w:rFonts w:ascii="Times New Roman" w:hAnsi="Times New Roman" w:cs="Times New Roman"/>
          <w:szCs w:val="24"/>
        </w:rPr>
        <w:t xml:space="preserve">). These serve as the means to dispel </w:t>
      </w:r>
      <w:r w:rsidRPr="00C74DE0">
        <w:rPr>
          <w:rStyle w:val="Emphasis"/>
          <w:rFonts w:ascii="Times New Roman" w:hAnsi="Times New Roman" w:cs="Times New Roman"/>
          <w:szCs w:val="24"/>
        </w:rPr>
        <w:t>mithyājñāna</w:t>
      </w:r>
      <w:r w:rsidRPr="00C74DE0">
        <w:rPr>
          <w:rFonts w:ascii="Times New Roman" w:hAnsi="Times New Roman" w:cs="Times New Roman"/>
          <w:szCs w:val="24"/>
        </w:rPr>
        <w:t xml:space="preserve"> (false cognition), the root cause of bondage and rebirth. </w:t>
      </w:r>
      <w:r w:rsidRPr="00C74DE0">
        <w:rPr>
          <w:rStyle w:val="Emphasis"/>
          <w:rFonts w:ascii="Times New Roman" w:hAnsi="Times New Roman" w:cs="Times New Roman"/>
          <w:szCs w:val="24"/>
        </w:rPr>
        <w:t>Prameya</w:t>
      </w:r>
      <w:r w:rsidRPr="00C74DE0">
        <w:rPr>
          <w:rFonts w:ascii="Times New Roman" w:hAnsi="Times New Roman" w:cs="Times New Roman"/>
          <w:szCs w:val="24"/>
        </w:rPr>
        <w:t xml:space="preserve"> includes twelve fundamental objects of knowledge</w:t>
      </w:r>
      <w:r w:rsidR="00985139">
        <w:rPr>
          <w:rFonts w:ascii="Times New Roman" w:hAnsi="Times New Roman" w:cs="Times New Roman"/>
          <w:szCs w:val="24"/>
        </w:rPr>
        <w:t>,</w:t>
      </w:r>
      <w:r w:rsidRPr="00C74DE0">
        <w:rPr>
          <w:rFonts w:ascii="Times New Roman" w:hAnsi="Times New Roman" w:cs="Times New Roman"/>
          <w:szCs w:val="24"/>
        </w:rPr>
        <w:t xml:space="preserve"> such as self (</w:t>
      </w:r>
      <w:r w:rsidRPr="00C74DE0">
        <w:rPr>
          <w:rStyle w:val="Emphasis"/>
          <w:rFonts w:ascii="Times New Roman" w:hAnsi="Times New Roman" w:cs="Times New Roman"/>
          <w:szCs w:val="24"/>
        </w:rPr>
        <w:t>ātman</w:t>
      </w:r>
      <w:r w:rsidRPr="00C74DE0">
        <w:rPr>
          <w:rFonts w:ascii="Times New Roman" w:hAnsi="Times New Roman" w:cs="Times New Roman"/>
          <w:szCs w:val="24"/>
        </w:rPr>
        <w:t>), body (</w:t>
      </w:r>
      <w:r w:rsidRPr="00C74DE0">
        <w:rPr>
          <w:rStyle w:val="Emphasis"/>
          <w:rFonts w:ascii="Times New Roman" w:hAnsi="Times New Roman" w:cs="Times New Roman"/>
          <w:szCs w:val="24"/>
        </w:rPr>
        <w:t>śarīra</w:t>
      </w:r>
      <w:r w:rsidRPr="00C74DE0">
        <w:rPr>
          <w:rFonts w:ascii="Times New Roman" w:hAnsi="Times New Roman" w:cs="Times New Roman"/>
          <w:szCs w:val="24"/>
        </w:rPr>
        <w:t xml:space="preserve">), </w:t>
      </w:r>
      <w:r w:rsidRPr="00C74DE0">
        <w:rPr>
          <w:rFonts w:ascii="Times New Roman" w:hAnsi="Times New Roman" w:cs="Times New Roman"/>
          <w:szCs w:val="24"/>
        </w:rPr>
        <w:lastRenderedPageBreak/>
        <w:t>senses (</w:t>
      </w:r>
      <w:r w:rsidRPr="00C74DE0">
        <w:rPr>
          <w:rStyle w:val="Emphasis"/>
          <w:rFonts w:ascii="Times New Roman" w:hAnsi="Times New Roman" w:cs="Times New Roman"/>
          <w:szCs w:val="24"/>
        </w:rPr>
        <w:t>indriya</w:t>
      </w:r>
      <w:r w:rsidRPr="00C74DE0">
        <w:rPr>
          <w:rFonts w:ascii="Times New Roman" w:hAnsi="Times New Roman" w:cs="Times New Roman"/>
          <w:szCs w:val="24"/>
        </w:rPr>
        <w:t>), objects of the senses (</w:t>
      </w:r>
      <w:r w:rsidRPr="00C74DE0">
        <w:rPr>
          <w:rStyle w:val="Emphasis"/>
          <w:rFonts w:ascii="Times New Roman" w:hAnsi="Times New Roman" w:cs="Times New Roman"/>
          <w:szCs w:val="24"/>
        </w:rPr>
        <w:t>artha</w:t>
      </w:r>
      <w:r w:rsidRPr="00C74DE0">
        <w:rPr>
          <w:rFonts w:ascii="Times New Roman" w:hAnsi="Times New Roman" w:cs="Times New Roman"/>
          <w:szCs w:val="24"/>
        </w:rPr>
        <w:t>), knowledge (</w:t>
      </w:r>
      <w:r w:rsidRPr="00C74DE0">
        <w:rPr>
          <w:rStyle w:val="Emphasis"/>
          <w:rFonts w:ascii="Times New Roman" w:hAnsi="Times New Roman" w:cs="Times New Roman"/>
          <w:szCs w:val="24"/>
        </w:rPr>
        <w:t>buddhi</w:t>
      </w:r>
      <w:r w:rsidRPr="00C74DE0">
        <w:rPr>
          <w:rFonts w:ascii="Times New Roman" w:hAnsi="Times New Roman" w:cs="Times New Roman"/>
          <w:szCs w:val="24"/>
        </w:rPr>
        <w:t>), mind (</w:t>
      </w:r>
      <w:r w:rsidRPr="00C74DE0">
        <w:rPr>
          <w:rStyle w:val="Emphasis"/>
          <w:rFonts w:ascii="Times New Roman" w:hAnsi="Times New Roman" w:cs="Times New Roman"/>
          <w:szCs w:val="24"/>
        </w:rPr>
        <w:t>manas</w:t>
      </w:r>
      <w:r w:rsidRPr="00C74DE0">
        <w:rPr>
          <w:rFonts w:ascii="Times New Roman" w:hAnsi="Times New Roman" w:cs="Times New Roman"/>
          <w:szCs w:val="24"/>
        </w:rPr>
        <w:t>), activity (</w:t>
      </w:r>
      <w:r w:rsidRPr="00C74DE0">
        <w:rPr>
          <w:rStyle w:val="Emphasis"/>
          <w:rFonts w:ascii="Times New Roman" w:hAnsi="Times New Roman" w:cs="Times New Roman"/>
          <w:szCs w:val="24"/>
        </w:rPr>
        <w:t>pravṛtti</w:t>
      </w:r>
      <w:r w:rsidRPr="00C74DE0">
        <w:rPr>
          <w:rFonts w:ascii="Times New Roman" w:hAnsi="Times New Roman" w:cs="Times New Roman"/>
          <w:szCs w:val="24"/>
        </w:rPr>
        <w:t>), defects (</w:t>
      </w:r>
      <w:r w:rsidRPr="00C74DE0">
        <w:rPr>
          <w:rStyle w:val="Emphasis"/>
          <w:rFonts w:ascii="Times New Roman" w:hAnsi="Times New Roman" w:cs="Times New Roman"/>
          <w:szCs w:val="24"/>
        </w:rPr>
        <w:t>doṣa</w:t>
      </w:r>
      <w:r w:rsidRPr="00C74DE0">
        <w:rPr>
          <w:rFonts w:ascii="Times New Roman" w:hAnsi="Times New Roman" w:cs="Times New Roman"/>
          <w:szCs w:val="24"/>
        </w:rPr>
        <w:t>), rebirth (</w:t>
      </w:r>
      <w:r w:rsidRPr="00C74DE0">
        <w:rPr>
          <w:rStyle w:val="Emphasis"/>
          <w:rFonts w:ascii="Times New Roman" w:hAnsi="Times New Roman" w:cs="Times New Roman"/>
          <w:szCs w:val="24"/>
        </w:rPr>
        <w:t>pretyabhāva</w:t>
      </w:r>
      <w:r w:rsidRPr="00C74DE0">
        <w:rPr>
          <w:rFonts w:ascii="Times New Roman" w:hAnsi="Times New Roman" w:cs="Times New Roman"/>
          <w:szCs w:val="24"/>
        </w:rPr>
        <w:t>), result (</w:t>
      </w:r>
      <w:r w:rsidRPr="00C74DE0">
        <w:rPr>
          <w:rStyle w:val="Emphasis"/>
          <w:rFonts w:ascii="Times New Roman" w:hAnsi="Times New Roman" w:cs="Times New Roman"/>
          <w:szCs w:val="24"/>
        </w:rPr>
        <w:t>phala</w:t>
      </w:r>
      <w:r w:rsidRPr="00C74DE0">
        <w:rPr>
          <w:rFonts w:ascii="Times New Roman" w:hAnsi="Times New Roman" w:cs="Times New Roman"/>
          <w:szCs w:val="24"/>
        </w:rPr>
        <w:t>), suffering (</w:t>
      </w:r>
      <w:r w:rsidRPr="00C74DE0">
        <w:rPr>
          <w:rStyle w:val="Emphasis"/>
          <w:rFonts w:ascii="Times New Roman" w:hAnsi="Times New Roman" w:cs="Times New Roman"/>
          <w:szCs w:val="24"/>
        </w:rPr>
        <w:t>duḥkha</w:t>
      </w:r>
      <w:r w:rsidRPr="00C74DE0">
        <w:rPr>
          <w:rFonts w:ascii="Times New Roman" w:hAnsi="Times New Roman" w:cs="Times New Roman"/>
          <w:szCs w:val="24"/>
        </w:rPr>
        <w:t>), and liberation (</w:t>
      </w:r>
      <w:r w:rsidRPr="00C74DE0">
        <w:rPr>
          <w:rStyle w:val="Emphasis"/>
          <w:rFonts w:ascii="Times New Roman" w:hAnsi="Times New Roman" w:cs="Times New Roman"/>
          <w:szCs w:val="24"/>
        </w:rPr>
        <w:t>apavarga</w:t>
      </w:r>
      <w:r w:rsidRPr="00C74DE0">
        <w:rPr>
          <w:rFonts w:ascii="Times New Roman" w:hAnsi="Times New Roman" w:cs="Times New Roman"/>
          <w:szCs w:val="24"/>
        </w:rPr>
        <w:t xml:space="preserve">). Right cognition of these objects enables one to negate ignorance, overcome </w:t>
      </w:r>
      <w:r w:rsidRPr="00C74DE0">
        <w:rPr>
          <w:rStyle w:val="Emphasis"/>
          <w:rFonts w:ascii="Times New Roman" w:hAnsi="Times New Roman" w:cs="Times New Roman"/>
          <w:szCs w:val="24"/>
        </w:rPr>
        <w:t>doṣa</w:t>
      </w:r>
      <w:r w:rsidRPr="00C74DE0">
        <w:rPr>
          <w:rFonts w:ascii="Times New Roman" w:hAnsi="Times New Roman" w:cs="Times New Roman"/>
          <w:szCs w:val="24"/>
        </w:rPr>
        <w:t xml:space="preserve">, and break the cycle of action, birth, and suffering. Thus, the interplay of </w:t>
      </w:r>
      <w:r w:rsidRPr="00C74DE0">
        <w:rPr>
          <w:rStyle w:val="Emphasis"/>
          <w:rFonts w:ascii="Times New Roman" w:hAnsi="Times New Roman" w:cs="Times New Roman"/>
          <w:szCs w:val="24"/>
        </w:rPr>
        <w:t>pramā</w:t>
      </w:r>
      <w:bookmarkStart w:id="7" w:name="_Hlk209627284"/>
      <w:r w:rsidRPr="00C74DE0">
        <w:rPr>
          <w:rStyle w:val="Emphasis"/>
          <w:rFonts w:ascii="Times New Roman" w:hAnsi="Times New Roman" w:cs="Times New Roman"/>
          <w:szCs w:val="24"/>
        </w:rPr>
        <w:t>ṇ</w:t>
      </w:r>
      <w:bookmarkEnd w:id="7"/>
      <w:r w:rsidRPr="00C74DE0">
        <w:rPr>
          <w:rStyle w:val="Emphasis"/>
          <w:rFonts w:ascii="Times New Roman" w:hAnsi="Times New Roman" w:cs="Times New Roman"/>
          <w:szCs w:val="24"/>
        </w:rPr>
        <w:t>a</w:t>
      </w:r>
      <w:r w:rsidRPr="00C74DE0">
        <w:rPr>
          <w:rFonts w:ascii="Times New Roman" w:hAnsi="Times New Roman" w:cs="Times New Roman"/>
          <w:szCs w:val="24"/>
        </w:rPr>
        <w:t xml:space="preserve"> and </w:t>
      </w:r>
      <w:r w:rsidRPr="00C74DE0">
        <w:rPr>
          <w:rStyle w:val="Emphasis"/>
          <w:rFonts w:ascii="Times New Roman" w:hAnsi="Times New Roman" w:cs="Times New Roman"/>
          <w:szCs w:val="24"/>
        </w:rPr>
        <w:t>prameya</w:t>
      </w:r>
      <w:r w:rsidRPr="00C74DE0">
        <w:rPr>
          <w:rFonts w:ascii="Times New Roman" w:hAnsi="Times New Roman" w:cs="Times New Roman"/>
          <w:szCs w:val="24"/>
        </w:rPr>
        <w:t xml:space="preserve"> provides the epistemic pathway to </w:t>
      </w:r>
      <w:r w:rsidRPr="00C74DE0">
        <w:rPr>
          <w:rStyle w:val="Emphasis"/>
          <w:rFonts w:ascii="Times New Roman" w:hAnsi="Times New Roman" w:cs="Times New Roman"/>
          <w:szCs w:val="24"/>
        </w:rPr>
        <w:t>apavarga</w:t>
      </w:r>
      <w:r w:rsidRPr="00C74DE0">
        <w:rPr>
          <w:rFonts w:ascii="Times New Roman" w:hAnsi="Times New Roman" w:cs="Times New Roman"/>
          <w:szCs w:val="24"/>
        </w:rPr>
        <w:t xml:space="preserve">, the ultimate cessation of suffering. While </w:t>
      </w:r>
      <w:r w:rsidRPr="00C74DE0">
        <w:rPr>
          <w:rStyle w:val="Emphasis"/>
          <w:rFonts w:ascii="Times New Roman" w:hAnsi="Times New Roman" w:cs="Times New Roman"/>
          <w:szCs w:val="24"/>
        </w:rPr>
        <w:t>pramāṇa</w:t>
      </w:r>
      <w:r w:rsidRPr="00C74DE0">
        <w:rPr>
          <w:rFonts w:ascii="Times New Roman" w:hAnsi="Times New Roman" w:cs="Times New Roman"/>
          <w:szCs w:val="24"/>
        </w:rPr>
        <w:t xml:space="preserve"> and </w:t>
      </w:r>
      <w:r w:rsidRPr="00C74DE0">
        <w:rPr>
          <w:rStyle w:val="Emphasis"/>
          <w:rFonts w:ascii="Times New Roman" w:hAnsi="Times New Roman" w:cs="Times New Roman"/>
          <w:szCs w:val="24"/>
        </w:rPr>
        <w:t>prameya</w:t>
      </w:r>
      <w:r w:rsidRPr="00C74DE0">
        <w:rPr>
          <w:rFonts w:ascii="Times New Roman" w:hAnsi="Times New Roman" w:cs="Times New Roman"/>
          <w:szCs w:val="24"/>
        </w:rPr>
        <w:t xml:space="preserve"> are the direct determinants of </w:t>
      </w:r>
      <w:r w:rsidRPr="00C74DE0">
        <w:rPr>
          <w:rStyle w:val="Emphasis"/>
          <w:rFonts w:ascii="Times New Roman" w:hAnsi="Times New Roman" w:cs="Times New Roman"/>
          <w:szCs w:val="24"/>
        </w:rPr>
        <w:t>apavarga</w:t>
      </w:r>
      <w:r w:rsidRPr="00C74DE0">
        <w:rPr>
          <w:rFonts w:ascii="Times New Roman" w:hAnsi="Times New Roman" w:cs="Times New Roman"/>
          <w:szCs w:val="24"/>
        </w:rPr>
        <w:t>, the inclusion of other categories makes the Nyāya tradition distinct from others and demonstrates its logical as well as practical relevance.</w:t>
      </w:r>
    </w:p>
    <w:p w14:paraId="506E4E88" w14:textId="7C0F1246" w:rsidR="00C74DE0" w:rsidRPr="00D1172D" w:rsidRDefault="00D1172D" w:rsidP="00C74DE0">
      <w:pPr>
        <w:spacing w:line="360" w:lineRule="auto"/>
        <w:jc w:val="both"/>
        <w:rPr>
          <w:rFonts w:ascii="Times New Roman" w:hAnsi="Times New Roman" w:cs="Times New Roman"/>
          <w:szCs w:val="24"/>
        </w:rPr>
      </w:pPr>
      <w:r>
        <w:rPr>
          <w:rFonts w:ascii="Times New Roman" w:hAnsi="Times New Roman" w:cs="Times New Roman"/>
          <w:szCs w:val="24"/>
        </w:rPr>
        <w:t>Vātsyāyana's</w:t>
      </w:r>
      <w:r w:rsidR="00C74DE0" w:rsidRPr="00C74DE0">
        <w:rPr>
          <w:rFonts w:ascii="Times New Roman" w:hAnsi="Times New Roman" w:cs="Times New Roman"/>
          <w:szCs w:val="24"/>
        </w:rPr>
        <w:t xml:space="preserve"> commentary suggests that the separately mentioned other categories (except </w:t>
      </w:r>
      <w:r w:rsidR="00C74DE0" w:rsidRPr="00C74DE0">
        <w:rPr>
          <w:rFonts w:ascii="Times New Roman" w:hAnsi="Times New Roman" w:cs="Times New Roman"/>
          <w:i/>
          <w:szCs w:val="24"/>
        </w:rPr>
        <w:t>prameya</w:t>
      </w:r>
      <w:r w:rsidR="00C74DE0" w:rsidRPr="00C74DE0">
        <w:rPr>
          <w:rFonts w:ascii="Times New Roman" w:hAnsi="Times New Roman" w:cs="Times New Roman"/>
          <w:szCs w:val="24"/>
        </w:rPr>
        <w:t>) also lead to the highest goal (</w:t>
      </w:r>
      <w:r w:rsidR="00C74DE0" w:rsidRPr="00C74DE0">
        <w:rPr>
          <w:rFonts w:ascii="Times New Roman" w:hAnsi="Times New Roman" w:cs="Times New Roman"/>
          <w:i/>
          <w:szCs w:val="24"/>
        </w:rPr>
        <w:t>summum bonum</w:t>
      </w:r>
      <w:r w:rsidR="00C74DE0" w:rsidRPr="00C74DE0">
        <w:rPr>
          <w:rFonts w:ascii="Times New Roman" w:hAnsi="Times New Roman" w:cs="Times New Roman"/>
          <w:szCs w:val="24"/>
        </w:rPr>
        <w:t xml:space="preserve">) of life, but these are indirect causes. Here, one can raise a question of why we should pay so much attention to other categories and why Gautama mentioned those categories separately if other categories (except </w:t>
      </w:r>
      <w:r w:rsidR="00C74DE0" w:rsidRPr="00C74DE0">
        <w:rPr>
          <w:rFonts w:ascii="Times New Roman" w:hAnsi="Times New Roman" w:cs="Times New Roman"/>
          <w:i/>
          <w:szCs w:val="24"/>
        </w:rPr>
        <w:t>prameya</w:t>
      </w:r>
      <w:r w:rsidR="00C74DE0" w:rsidRPr="00C74DE0">
        <w:rPr>
          <w:rFonts w:ascii="Times New Roman" w:hAnsi="Times New Roman" w:cs="Times New Roman"/>
          <w:szCs w:val="24"/>
        </w:rPr>
        <w:t xml:space="preserve">) are the indirect cause of liberation. Vātsyāyana anticipates the objection that if only the </w:t>
      </w:r>
      <w:r w:rsidR="00C74DE0" w:rsidRPr="00C74DE0">
        <w:rPr>
          <w:rFonts w:ascii="Times New Roman" w:hAnsi="Times New Roman" w:cs="Times New Roman"/>
          <w:i/>
          <w:iCs/>
          <w:szCs w:val="24"/>
        </w:rPr>
        <w:t>prameya</w:t>
      </w:r>
      <w:r w:rsidR="00C74DE0" w:rsidRPr="00C74DE0">
        <w:rPr>
          <w:rFonts w:ascii="Times New Roman" w:hAnsi="Times New Roman" w:cs="Times New Roman"/>
          <w:szCs w:val="24"/>
        </w:rPr>
        <w:t xml:space="preserve"> directly lead to liberation, why does Gautama bother to list the other fourteen categories separately? The argument is that it would be “useless” to give them separate prominence if they don't have a distinct and definite causal role in the path to liberation. In response to these questions, Vātsyāyana provides </w:t>
      </w:r>
      <w:r>
        <w:rPr>
          <w:rFonts w:ascii="Times New Roman" w:hAnsi="Times New Roman" w:cs="Times New Roman"/>
          <w:szCs w:val="24"/>
        </w:rPr>
        <w:t xml:space="preserve">a </w:t>
      </w:r>
      <w:r w:rsidR="00C74DE0" w:rsidRPr="00C74DE0">
        <w:rPr>
          <w:rFonts w:ascii="Times New Roman" w:hAnsi="Times New Roman" w:cs="Times New Roman"/>
          <w:szCs w:val="24"/>
        </w:rPr>
        <w:t xml:space="preserve">clear rationale. According to him, for the sake of human beings, there are branches of study, and each has its special subject matter. There is also positive justification for separate mentioning of doubt, etc., in the </w:t>
      </w:r>
      <w:r w:rsidR="00C74DE0" w:rsidRPr="00C74DE0">
        <w:rPr>
          <w:rFonts w:ascii="Times New Roman" w:hAnsi="Times New Roman" w:cs="Times New Roman"/>
          <w:i/>
          <w:szCs w:val="24"/>
        </w:rPr>
        <w:t>sūtra.</w:t>
      </w:r>
      <w:r w:rsidR="00C74DE0" w:rsidRPr="00C74DE0">
        <w:rPr>
          <w:rFonts w:ascii="Times New Roman" w:hAnsi="Times New Roman" w:cs="Times New Roman"/>
          <w:szCs w:val="24"/>
        </w:rPr>
        <w:t xml:space="preserve"> In the interest of human welfare, four branches of studies are offered in this particular category. These are, namely, the three </w:t>
      </w:r>
      <w:r w:rsidR="00C74DE0" w:rsidRPr="00C74DE0">
        <w:rPr>
          <w:rFonts w:ascii="Times New Roman" w:hAnsi="Times New Roman" w:cs="Times New Roman"/>
          <w:iCs/>
          <w:szCs w:val="24"/>
        </w:rPr>
        <w:t>Vedas</w:t>
      </w:r>
      <w:r w:rsidR="00C74DE0" w:rsidRPr="00C74DE0">
        <w:rPr>
          <w:rFonts w:ascii="Times New Roman" w:hAnsi="Times New Roman" w:cs="Times New Roman"/>
          <w:i/>
          <w:szCs w:val="24"/>
        </w:rPr>
        <w:t xml:space="preserve"> </w:t>
      </w:r>
      <w:r w:rsidR="00C74DE0" w:rsidRPr="00C74DE0">
        <w:rPr>
          <w:rFonts w:ascii="Times New Roman" w:hAnsi="Times New Roman" w:cs="Times New Roman"/>
          <w:szCs w:val="24"/>
        </w:rPr>
        <w:t>(</w:t>
      </w:r>
      <w:r w:rsidR="00C74DE0" w:rsidRPr="00C74DE0">
        <w:rPr>
          <w:rFonts w:ascii="Times New Roman" w:hAnsi="Times New Roman" w:cs="Times New Roman"/>
          <w:i/>
          <w:szCs w:val="24"/>
        </w:rPr>
        <w:t>trayī</w:t>
      </w:r>
      <w:r w:rsidR="00C74DE0" w:rsidRPr="00C74DE0">
        <w:rPr>
          <w:rFonts w:ascii="Times New Roman" w:hAnsi="Times New Roman" w:cs="Times New Roman"/>
          <w:szCs w:val="24"/>
        </w:rPr>
        <w:t>), state-craft (</w:t>
      </w:r>
      <w:bookmarkStart w:id="8" w:name="_Hlk209627778"/>
      <w:r w:rsidR="00C74DE0" w:rsidRPr="00C74DE0">
        <w:rPr>
          <w:rFonts w:ascii="Times New Roman" w:hAnsi="Times New Roman" w:cs="Times New Roman"/>
          <w:i/>
          <w:szCs w:val="24"/>
        </w:rPr>
        <w:t>dandanīti</w:t>
      </w:r>
      <w:bookmarkEnd w:id="8"/>
      <w:r w:rsidR="00C74DE0" w:rsidRPr="00C74DE0">
        <w:rPr>
          <w:rFonts w:ascii="Times New Roman" w:hAnsi="Times New Roman" w:cs="Times New Roman"/>
          <w:szCs w:val="24"/>
        </w:rPr>
        <w:t>), agro-economy (</w:t>
      </w:r>
      <w:r w:rsidR="00C74DE0" w:rsidRPr="00C74DE0">
        <w:rPr>
          <w:rFonts w:ascii="Times New Roman" w:hAnsi="Times New Roman" w:cs="Times New Roman"/>
          <w:i/>
          <w:szCs w:val="24"/>
        </w:rPr>
        <w:t>vārttā</w:t>
      </w:r>
      <w:r w:rsidR="00C74DE0" w:rsidRPr="00C74DE0">
        <w:rPr>
          <w:rFonts w:ascii="Times New Roman" w:hAnsi="Times New Roman" w:cs="Times New Roman"/>
          <w:szCs w:val="24"/>
        </w:rPr>
        <w:t>), and logic (</w:t>
      </w:r>
      <w:bookmarkStart w:id="9" w:name="_Hlk209637848"/>
      <w:r w:rsidR="00C74DE0" w:rsidRPr="00C74DE0">
        <w:rPr>
          <w:rStyle w:val="Emphasis"/>
          <w:rFonts w:ascii="Times New Roman" w:hAnsi="Times New Roman" w:cs="Times New Roman"/>
          <w:szCs w:val="24"/>
        </w:rPr>
        <w:t>ā</w:t>
      </w:r>
      <w:r w:rsidR="00C74DE0" w:rsidRPr="00C74DE0">
        <w:rPr>
          <w:rFonts w:ascii="Times New Roman" w:hAnsi="Times New Roman" w:cs="Times New Roman"/>
          <w:i/>
          <w:iCs/>
          <w:szCs w:val="24"/>
        </w:rPr>
        <w:t>nv</w:t>
      </w:r>
      <w:bookmarkStart w:id="10" w:name="_Hlk209637767"/>
      <w:r w:rsidR="00C74DE0" w:rsidRPr="00C74DE0">
        <w:rPr>
          <w:rFonts w:ascii="Times New Roman" w:hAnsi="Times New Roman" w:cs="Times New Roman"/>
          <w:i/>
          <w:iCs/>
          <w:szCs w:val="24"/>
        </w:rPr>
        <w:t>ī</w:t>
      </w:r>
      <w:bookmarkEnd w:id="10"/>
      <w:r w:rsidR="00C74DE0" w:rsidRPr="00C74DE0">
        <w:rPr>
          <w:rFonts w:ascii="Times New Roman" w:hAnsi="Times New Roman" w:cs="Times New Roman"/>
          <w:i/>
          <w:iCs/>
          <w:szCs w:val="24"/>
        </w:rPr>
        <w:t>k</w:t>
      </w:r>
      <w:r w:rsidR="00C74DE0" w:rsidRPr="00C74DE0">
        <w:rPr>
          <w:rStyle w:val="Emphasis"/>
          <w:rFonts w:ascii="Times New Roman" w:hAnsi="Times New Roman" w:cs="Times New Roman"/>
          <w:szCs w:val="24"/>
        </w:rPr>
        <w:t>ṣ</w:t>
      </w:r>
      <w:r w:rsidR="00C74DE0" w:rsidRPr="00C74DE0">
        <w:rPr>
          <w:rFonts w:ascii="Times New Roman" w:hAnsi="Times New Roman" w:cs="Times New Roman"/>
          <w:i/>
          <w:iCs/>
          <w:szCs w:val="24"/>
        </w:rPr>
        <w:t>ikī</w:t>
      </w:r>
      <w:bookmarkEnd w:id="9"/>
      <w:r w:rsidR="00C74DE0" w:rsidRPr="00C74DE0">
        <w:rPr>
          <w:rFonts w:ascii="Times New Roman" w:hAnsi="Times New Roman" w:cs="Times New Roman"/>
          <w:szCs w:val="24"/>
        </w:rPr>
        <w:t>). Each of these branches has its unique subject matter (</w:t>
      </w:r>
      <w:r w:rsidR="00C74DE0" w:rsidRPr="00C74DE0">
        <w:rPr>
          <w:rFonts w:ascii="Times New Roman" w:hAnsi="Times New Roman" w:cs="Times New Roman"/>
          <w:i/>
          <w:szCs w:val="24"/>
        </w:rPr>
        <w:t>prasthāna</w:t>
      </w:r>
      <w:r w:rsidR="00C74DE0" w:rsidRPr="00C74DE0">
        <w:rPr>
          <w:rFonts w:ascii="Times New Roman" w:hAnsi="Times New Roman" w:cs="Times New Roman"/>
          <w:szCs w:val="24"/>
        </w:rPr>
        <w:t xml:space="preserve">). </w:t>
      </w:r>
      <w:r w:rsidR="00C74DE0" w:rsidRPr="00C74DE0">
        <w:rPr>
          <w:rFonts w:ascii="Times New Roman" w:hAnsi="Times New Roman" w:cs="Times New Roman"/>
          <w:iCs/>
          <w:szCs w:val="24"/>
        </w:rPr>
        <w:t>Veda</w:t>
      </w:r>
      <w:r w:rsidR="00C74DE0" w:rsidRPr="00C74DE0">
        <w:rPr>
          <w:rFonts w:ascii="Times New Roman" w:hAnsi="Times New Roman" w:cs="Times New Roman"/>
          <w:szCs w:val="24"/>
        </w:rPr>
        <w:t xml:space="preserve"> persists to preserve some ritual activities, like the ‘</w:t>
      </w:r>
      <w:r w:rsidR="00C74DE0" w:rsidRPr="00C74DE0">
        <w:rPr>
          <w:rFonts w:ascii="Times New Roman" w:hAnsi="Times New Roman" w:cs="Times New Roman"/>
          <w:i/>
          <w:szCs w:val="24"/>
        </w:rPr>
        <w:t>agnihotra</w:t>
      </w:r>
      <w:r w:rsidR="00C74DE0" w:rsidRPr="00C74DE0">
        <w:rPr>
          <w:rFonts w:ascii="Times New Roman" w:hAnsi="Times New Roman" w:cs="Times New Roman"/>
          <w:szCs w:val="24"/>
        </w:rPr>
        <w:t xml:space="preserve"> sacrifice’ etc., and state-crafts (</w:t>
      </w:r>
      <w:r w:rsidR="00C74DE0" w:rsidRPr="00C74DE0">
        <w:rPr>
          <w:rFonts w:ascii="Times New Roman" w:hAnsi="Times New Roman" w:cs="Times New Roman"/>
          <w:i/>
          <w:szCs w:val="24"/>
        </w:rPr>
        <w:t>dandanīti</w:t>
      </w:r>
      <w:r w:rsidR="00C74DE0" w:rsidRPr="00C74DE0">
        <w:rPr>
          <w:rFonts w:ascii="Times New Roman" w:hAnsi="Times New Roman" w:cs="Times New Roman"/>
          <w:szCs w:val="24"/>
        </w:rPr>
        <w:t xml:space="preserve">) are the king, minister, etc. </w:t>
      </w:r>
      <w:r>
        <w:rPr>
          <w:rFonts w:ascii="Times New Roman" w:hAnsi="Times New Roman" w:cs="Times New Roman"/>
          <w:szCs w:val="24"/>
        </w:rPr>
        <w:t>Agro-economy</w:t>
      </w:r>
      <w:r w:rsidR="00C74DE0" w:rsidRPr="00C74DE0">
        <w:rPr>
          <w:rFonts w:ascii="Times New Roman" w:hAnsi="Times New Roman" w:cs="Times New Roman"/>
          <w:szCs w:val="24"/>
        </w:rPr>
        <w:t xml:space="preserve"> (</w:t>
      </w:r>
      <w:r w:rsidR="00C74DE0" w:rsidRPr="00C74DE0">
        <w:rPr>
          <w:rFonts w:ascii="Times New Roman" w:hAnsi="Times New Roman" w:cs="Times New Roman"/>
          <w:i/>
          <w:szCs w:val="24"/>
        </w:rPr>
        <w:t>vārttā</w:t>
      </w:r>
      <w:r w:rsidR="00C74DE0" w:rsidRPr="00C74DE0">
        <w:rPr>
          <w:rFonts w:ascii="Times New Roman" w:hAnsi="Times New Roman" w:cs="Times New Roman"/>
          <w:szCs w:val="24"/>
        </w:rPr>
        <w:t xml:space="preserve">) consists of </w:t>
      </w:r>
      <w:r w:rsidR="00C74DE0" w:rsidRPr="00C74DE0">
        <w:rPr>
          <w:rFonts w:ascii="Times New Roman" w:hAnsi="Times New Roman" w:cs="Times New Roman"/>
          <w:color w:val="000000" w:themeColor="text1"/>
          <w:szCs w:val="24"/>
          <w:shd w:val="clear" w:color="auto" w:fill="FFFFFF"/>
        </w:rPr>
        <w:t xml:space="preserve">a large farming implement. This implement uses one or more blades, which are fixed to a frame, drawn over the soil to turn it over and naturally cut furrows in preparation for the planting of seeds. It also involves some other activities related to the functioning of human needs. </w:t>
      </w:r>
      <w:r w:rsidR="00C74DE0" w:rsidRPr="00C74DE0">
        <w:rPr>
          <w:rFonts w:ascii="Times New Roman" w:hAnsi="Times New Roman" w:cs="Times New Roman"/>
          <w:szCs w:val="24"/>
        </w:rPr>
        <w:t>Logic (</w:t>
      </w:r>
      <w:r w:rsidR="00C74DE0" w:rsidRPr="00C74DE0">
        <w:rPr>
          <w:rStyle w:val="Emphasis"/>
          <w:rFonts w:ascii="Times New Roman" w:hAnsi="Times New Roman" w:cs="Times New Roman"/>
          <w:szCs w:val="24"/>
        </w:rPr>
        <w:t>ā</w:t>
      </w:r>
      <w:r w:rsidR="00C74DE0" w:rsidRPr="00C74DE0">
        <w:rPr>
          <w:rFonts w:ascii="Times New Roman" w:hAnsi="Times New Roman" w:cs="Times New Roman"/>
          <w:szCs w:val="24"/>
        </w:rPr>
        <w:t>nvīk</w:t>
      </w:r>
      <w:r w:rsidR="00C74DE0" w:rsidRPr="00C74DE0">
        <w:rPr>
          <w:rStyle w:val="Emphasis"/>
          <w:rFonts w:ascii="Times New Roman" w:hAnsi="Times New Roman" w:cs="Times New Roman"/>
          <w:szCs w:val="24"/>
        </w:rPr>
        <w:t>ṣ</w:t>
      </w:r>
      <w:r w:rsidR="00C74DE0" w:rsidRPr="00C74DE0">
        <w:rPr>
          <w:rFonts w:ascii="Times New Roman" w:hAnsi="Times New Roman" w:cs="Times New Roman"/>
          <w:szCs w:val="24"/>
        </w:rPr>
        <w:t>ikī) also has its unique subject matter, including the fourteen categories (doubt and others). “The specific mention of the topic coming under the subject matter of logic is necessary so that logic is not confused with some other branches of learning. Thus, e.g.</w:t>
      </w:r>
      <w:r>
        <w:rPr>
          <w:rFonts w:ascii="Times New Roman" w:hAnsi="Times New Roman" w:cs="Times New Roman"/>
          <w:szCs w:val="24"/>
        </w:rPr>
        <w:t>,</w:t>
      </w:r>
      <w:r w:rsidR="00C74DE0" w:rsidRPr="00C74DE0">
        <w:rPr>
          <w:rFonts w:ascii="Times New Roman" w:hAnsi="Times New Roman" w:cs="Times New Roman"/>
          <w:szCs w:val="24"/>
        </w:rPr>
        <w:t xml:space="preserve"> the real nature of </w:t>
      </w:r>
      <w:r w:rsidR="00C74DE0" w:rsidRPr="00C74DE0">
        <w:rPr>
          <w:rFonts w:ascii="Times New Roman" w:hAnsi="Times New Roman" w:cs="Times New Roman"/>
          <w:i/>
          <w:szCs w:val="24"/>
        </w:rPr>
        <w:t>ātman</w:t>
      </w:r>
      <w:r w:rsidR="00C74DE0" w:rsidRPr="00C74DE0">
        <w:rPr>
          <w:rFonts w:ascii="Times New Roman" w:hAnsi="Times New Roman" w:cs="Times New Roman"/>
          <w:szCs w:val="24"/>
        </w:rPr>
        <w:t xml:space="preserve"> is discussed in Logic, but it really forms the unique subject matter of </w:t>
      </w:r>
      <w:r w:rsidRPr="00C74DE0">
        <w:rPr>
          <w:rFonts w:ascii="Times New Roman" w:hAnsi="Times New Roman" w:cs="Times New Roman"/>
          <w:szCs w:val="24"/>
        </w:rPr>
        <w:t>Upanishad</w:t>
      </w:r>
      <w:r w:rsidR="00C74DE0" w:rsidRPr="00C74DE0">
        <w:rPr>
          <w:rFonts w:ascii="Times New Roman" w:hAnsi="Times New Roman" w:cs="Times New Roman"/>
          <w:szCs w:val="24"/>
        </w:rPr>
        <w:t xml:space="preserve"> (included in Veda).” (Ibid., p. 12) Therefore, without the separate mentioning of doubt, etc., it would have </w:t>
      </w:r>
      <w:r w:rsidR="00C74DE0" w:rsidRPr="00C74DE0">
        <w:rPr>
          <w:rFonts w:ascii="Times New Roman" w:hAnsi="Times New Roman" w:cs="Times New Roman"/>
          <w:szCs w:val="24"/>
        </w:rPr>
        <w:lastRenderedPageBreak/>
        <w:t>been merely a study of the self (</w:t>
      </w:r>
      <w:r w:rsidR="00C74DE0" w:rsidRPr="00C74DE0">
        <w:rPr>
          <w:rFonts w:ascii="Times New Roman" w:hAnsi="Times New Roman" w:cs="Times New Roman"/>
          <w:i/>
          <w:szCs w:val="24"/>
        </w:rPr>
        <w:t>adhyātma-vidyā</w:t>
      </w:r>
      <w:r w:rsidR="00C74DE0" w:rsidRPr="00C74DE0">
        <w:rPr>
          <w:rFonts w:ascii="Times New Roman" w:hAnsi="Times New Roman" w:cs="Times New Roman"/>
          <w:szCs w:val="24"/>
        </w:rPr>
        <w:t xml:space="preserve">) like </w:t>
      </w:r>
      <w:r>
        <w:rPr>
          <w:rFonts w:ascii="Times New Roman" w:hAnsi="Times New Roman" w:cs="Times New Roman"/>
          <w:szCs w:val="24"/>
        </w:rPr>
        <w:t xml:space="preserve">the </w:t>
      </w:r>
      <w:r w:rsidR="00C74DE0" w:rsidRPr="00C74DE0">
        <w:rPr>
          <w:rFonts w:ascii="Times New Roman" w:hAnsi="Times New Roman" w:cs="Times New Roman"/>
          <w:szCs w:val="24"/>
        </w:rPr>
        <w:t>Upaniṣad. (Ibid., p. 12) Finally, it can be said that the separate mentioning of these shown categories has its unique subject matter. We will see in the forthcoming discussions how these categories are necessary here.</w:t>
      </w:r>
    </w:p>
    <w:p w14:paraId="32C7A674" w14:textId="77777777" w:rsidR="00C74DE0" w:rsidRPr="00C74DE0" w:rsidRDefault="00C74DE0" w:rsidP="00C74DE0">
      <w:pPr>
        <w:spacing w:line="360" w:lineRule="auto"/>
        <w:jc w:val="both"/>
        <w:rPr>
          <w:rFonts w:ascii="Times New Roman" w:hAnsi="Times New Roman" w:cs="Times New Roman"/>
          <w:b/>
          <w:szCs w:val="24"/>
        </w:rPr>
      </w:pPr>
      <w:r w:rsidRPr="00C74DE0">
        <w:rPr>
          <w:rFonts w:ascii="Times New Roman" w:hAnsi="Times New Roman" w:cs="Times New Roman"/>
          <w:b/>
          <w:szCs w:val="24"/>
        </w:rPr>
        <w:t>Doubt (</w:t>
      </w:r>
      <w:r w:rsidRPr="00C74DE0">
        <w:rPr>
          <w:rFonts w:ascii="Times New Roman" w:hAnsi="Times New Roman" w:cs="Times New Roman"/>
          <w:b/>
          <w:i/>
          <w:szCs w:val="24"/>
        </w:rPr>
        <w:t>saṃśaya</w:t>
      </w:r>
      <w:r w:rsidRPr="00C74DE0">
        <w:rPr>
          <w:rFonts w:ascii="Times New Roman" w:hAnsi="Times New Roman" w:cs="Times New Roman"/>
          <w:b/>
          <w:szCs w:val="24"/>
        </w:rPr>
        <w:t>) as a Category</w:t>
      </w:r>
    </w:p>
    <w:p w14:paraId="0F0BA1B2" w14:textId="1279D03A" w:rsidR="00C74DE0" w:rsidRPr="00C74DE0" w:rsidRDefault="00C74DE0" w:rsidP="00C74DE0">
      <w:pPr>
        <w:spacing w:line="360" w:lineRule="auto"/>
        <w:jc w:val="both"/>
        <w:rPr>
          <w:rFonts w:ascii="Times New Roman" w:hAnsi="Times New Roman" w:cs="Times New Roman"/>
          <w:b/>
          <w:szCs w:val="24"/>
        </w:rPr>
      </w:pPr>
      <w:r w:rsidRPr="00C74DE0">
        <w:rPr>
          <w:rFonts w:ascii="Times New Roman" w:hAnsi="Times New Roman" w:cs="Times New Roman"/>
          <w:szCs w:val="24"/>
        </w:rPr>
        <w:t xml:space="preserve">In pursuit of the nature of knowledge of an object, one must know about the facts of </w:t>
      </w:r>
      <w:r w:rsidRPr="00C74DE0">
        <w:rPr>
          <w:rFonts w:ascii="Times New Roman" w:hAnsi="Times New Roman" w:cs="Times New Roman"/>
          <w:i/>
          <w:szCs w:val="24"/>
        </w:rPr>
        <w:t>nyāya</w:t>
      </w:r>
      <w:r w:rsidRPr="00C74DE0">
        <w:rPr>
          <w:rFonts w:ascii="Times New Roman" w:hAnsi="Times New Roman" w:cs="Times New Roman"/>
          <w:szCs w:val="24"/>
        </w:rPr>
        <w:t xml:space="preserve">. In </w:t>
      </w:r>
      <w:r w:rsidRPr="00C74DE0">
        <w:rPr>
          <w:rFonts w:ascii="Times New Roman" w:hAnsi="Times New Roman" w:cs="Times New Roman"/>
          <w:i/>
          <w:szCs w:val="24"/>
        </w:rPr>
        <w:t>nyāya</w:t>
      </w:r>
      <w:r w:rsidRPr="00C74DE0">
        <w:rPr>
          <w:rFonts w:ascii="Times New Roman" w:hAnsi="Times New Roman" w:cs="Times New Roman"/>
          <w:szCs w:val="24"/>
        </w:rPr>
        <w:t xml:space="preserve">, there is no relevance for </w:t>
      </w:r>
      <w:r w:rsidR="00D1172D">
        <w:rPr>
          <w:rFonts w:ascii="Times New Roman" w:hAnsi="Times New Roman" w:cs="Times New Roman"/>
          <w:szCs w:val="24"/>
        </w:rPr>
        <w:t>unknown objects</w:t>
      </w:r>
      <w:r w:rsidRPr="00C74DE0">
        <w:rPr>
          <w:rFonts w:ascii="Times New Roman" w:hAnsi="Times New Roman" w:cs="Times New Roman"/>
          <w:szCs w:val="24"/>
        </w:rPr>
        <w:t xml:space="preserve">, </w:t>
      </w:r>
      <w:r w:rsidR="00D1172D">
        <w:rPr>
          <w:rFonts w:ascii="Times New Roman" w:hAnsi="Times New Roman" w:cs="Times New Roman"/>
          <w:szCs w:val="24"/>
        </w:rPr>
        <w:t>nor is there</w:t>
      </w:r>
      <w:r w:rsidRPr="00C74DE0">
        <w:rPr>
          <w:rFonts w:ascii="Times New Roman" w:hAnsi="Times New Roman" w:cs="Times New Roman"/>
          <w:szCs w:val="24"/>
        </w:rPr>
        <w:t xml:space="preserve"> </w:t>
      </w:r>
      <w:r w:rsidR="00D1172D">
        <w:rPr>
          <w:rFonts w:ascii="Times New Roman" w:hAnsi="Times New Roman" w:cs="Times New Roman"/>
          <w:szCs w:val="24"/>
        </w:rPr>
        <w:t>any</w:t>
      </w:r>
      <w:r w:rsidRPr="00C74DE0">
        <w:rPr>
          <w:rFonts w:ascii="Times New Roman" w:hAnsi="Times New Roman" w:cs="Times New Roman"/>
          <w:szCs w:val="24"/>
        </w:rPr>
        <w:t xml:space="preserve"> relevance for those that are known for sure. It is relevant only to those objects that evoke doubt. In his </w:t>
      </w:r>
      <w:r w:rsidRPr="00C74DE0">
        <w:rPr>
          <w:rFonts w:ascii="Times New Roman" w:hAnsi="Times New Roman" w:cs="Times New Roman"/>
          <w:i/>
          <w:szCs w:val="24"/>
        </w:rPr>
        <w:t>Nyāya-sūtra,</w:t>
      </w:r>
      <w:r w:rsidRPr="00C74DE0">
        <w:rPr>
          <w:rFonts w:ascii="Times New Roman" w:hAnsi="Times New Roman" w:cs="Times New Roman"/>
          <w:szCs w:val="24"/>
        </w:rPr>
        <w:t xml:space="preserve"> Gautama wrote (</w:t>
      </w:r>
      <w:r w:rsidRPr="00C74DE0">
        <w:rPr>
          <w:rFonts w:ascii="Times New Roman" w:hAnsi="Times New Roman" w:cs="Times New Roman"/>
          <w:i/>
          <w:szCs w:val="24"/>
        </w:rPr>
        <w:t>Nyāya-sūtra</w:t>
      </w:r>
      <w:r w:rsidRPr="00C74DE0">
        <w:rPr>
          <w:rFonts w:ascii="Times New Roman" w:hAnsi="Times New Roman" w:cs="Times New Roman"/>
          <w:szCs w:val="24"/>
        </w:rPr>
        <w:t>, i.1.41): “final ascertainment (</w:t>
      </w:r>
      <w:r w:rsidRPr="00C74DE0">
        <w:rPr>
          <w:rFonts w:ascii="Times New Roman" w:hAnsi="Times New Roman" w:cs="Times New Roman"/>
          <w:i/>
          <w:szCs w:val="24"/>
        </w:rPr>
        <w:t>nirṇaya</w:t>
      </w:r>
      <w:r w:rsidRPr="00C74DE0">
        <w:rPr>
          <w:rFonts w:ascii="Times New Roman" w:hAnsi="Times New Roman" w:cs="Times New Roman"/>
          <w:szCs w:val="24"/>
        </w:rPr>
        <w:t>) is the ascertainment of an object through (consideration of) thesis (</w:t>
      </w:r>
      <w:r w:rsidRPr="00C74DE0">
        <w:rPr>
          <w:rFonts w:ascii="Times New Roman" w:hAnsi="Times New Roman" w:cs="Times New Roman"/>
          <w:i/>
          <w:szCs w:val="24"/>
        </w:rPr>
        <w:t>pakṣa</w:t>
      </w:r>
      <w:r w:rsidRPr="00C74DE0">
        <w:rPr>
          <w:rFonts w:ascii="Times New Roman" w:hAnsi="Times New Roman" w:cs="Times New Roman"/>
          <w:szCs w:val="24"/>
        </w:rPr>
        <w:t>) and anti-thesis (</w:t>
      </w:r>
      <w:r w:rsidRPr="00C74DE0">
        <w:rPr>
          <w:rFonts w:ascii="Times New Roman" w:hAnsi="Times New Roman" w:cs="Times New Roman"/>
          <w:i/>
          <w:szCs w:val="24"/>
        </w:rPr>
        <w:t>pratipak</w:t>
      </w:r>
      <w:bookmarkStart w:id="11" w:name="_Hlk209635691"/>
      <w:r w:rsidRPr="00C74DE0">
        <w:rPr>
          <w:rFonts w:ascii="Times New Roman" w:hAnsi="Times New Roman" w:cs="Times New Roman"/>
          <w:i/>
          <w:szCs w:val="24"/>
        </w:rPr>
        <w:t>ṣ</w:t>
      </w:r>
      <w:bookmarkEnd w:id="11"/>
      <w:r w:rsidRPr="00C74DE0">
        <w:rPr>
          <w:rFonts w:ascii="Times New Roman" w:hAnsi="Times New Roman" w:cs="Times New Roman"/>
          <w:i/>
          <w:szCs w:val="24"/>
        </w:rPr>
        <w:t>a</w:t>
      </w:r>
      <w:r w:rsidRPr="00C74DE0">
        <w:rPr>
          <w:rFonts w:ascii="Times New Roman" w:hAnsi="Times New Roman" w:cs="Times New Roman"/>
          <w:szCs w:val="24"/>
        </w:rPr>
        <w:t>) which result from doubt (</w:t>
      </w:r>
      <w:r w:rsidRPr="00C74DE0">
        <w:rPr>
          <w:rFonts w:ascii="Times New Roman" w:hAnsi="Times New Roman" w:cs="Times New Roman"/>
          <w:i/>
          <w:szCs w:val="24"/>
        </w:rPr>
        <w:t>vimaṛśa</w:t>
      </w:r>
      <w:r w:rsidRPr="00C74DE0">
        <w:rPr>
          <w:rFonts w:ascii="Times New Roman" w:hAnsi="Times New Roman" w:cs="Times New Roman"/>
          <w:szCs w:val="24"/>
        </w:rPr>
        <w:t xml:space="preserve">)”(Ibid., p. 12). Here, the meaning of </w:t>
      </w:r>
      <w:r w:rsidRPr="00C74DE0">
        <w:rPr>
          <w:rFonts w:ascii="Times New Roman" w:hAnsi="Times New Roman" w:cs="Times New Roman"/>
          <w:i/>
          <w:iCs/>
          <w:szCs w:val="24"/>
        </w:rPr>
        <w:t>vimaṛśa</w:t>
      </w:r>
      <w:r w:rsidRPr="00C74DE0">
        <w:rPr>
          <w:rFonts w:ascii="Times New Roman" w:hAnsi="Times New Roman" w:cs="Times New Roman"/>
          <w:szCs w:val="24"/>
        </w:rPr>
        <w:t xml:space="preserve"> is doubt, which is considered as the thesis and anti-thesis for the application of </w:t>
      </w:r>
      <w:r w:rsidRPr="00C74DE0">
        <w:rPr>
          <w:rFonts w:ascii="Times New Roman" w:hAnsi="Times New Roman" w:cs="Times New Roman"/>
          <w:i/>
          <w:szCs w:val="24"/>
        </w:rPr>
        <w:t>nyāya</w:t>
      </w:r>
      <w:r w:rsidRPr="00C74DE0">
        <w:rPr>
          <w:rFonts w:ascii="Times New Roman" w:hAnsi="Times New Roman" w:cs="Times New Roman"/>
          <w:szCs w:val="24"/>
        </w:rPr>
        <w:t xml:space="preserve">. And the ascertainment of acquiring an object means </w:t>
      </w:r>
      <w:r w:rsidRPr="00C74DE0">
        <w:rPr>
          <w:rFonts w:ascii="Times New Roman" w:hAnsi="Times New Roman" w:cs="Times New Roman"/>
          <w:i/>
          <w:szCs w:val="24"/>
        </w:rPr>
        <w:t>nirṇaya</w:t>
      </w:r>
      <w:r w:rsidRPr="00C74DE0">
        <w:rPr>
          <w:rFonts w:ascii="Times New Roman" w:hAnsi="Times New Roman" w:cs="Times New Roman"/>
          <w:szCs w:val="24"/>
        </w:rPr>
        <w:t xml:space="preserve"> or right knowledge (</w:t>
      </w:r>
      <w:r w:rsidRPr="00C74DE0">
        <w:rPr>
          <w:rFonts w:ascii="Times New Roman" w:hAnsi="Times New Roman" w:cs="Times New Roman"/>
          <w:i/>
          <w:szCs w:val="24"/>
        </w:rPr>
        <w:t>tattva-jn͂āna</w:t>
      </w:r>
      <w:r w:rsidRPr="00C74DE0">
        <w:rPr>
          <w:rFonts w:ascii="Times New Roman" w:hAnsi="Times New Roman" w:cs="Times New Roman"/>
          <w:szCs w:val="24"/>
        </w:rPr>
        <w:t xml:space="preserve">). On the other hand, doubt is recognised as the experience of something with a definite description, but the actual nature of that is not yet discovered in particular. To ascertain the true nature of an object, we need to examine the sources of the acquired knowledge. The nature of an object is to be discovered by the </w:t>
      </w:r>
      <w:r w:rsidRPr="00C74DE0">
        <w:rPr>
          <w:rFonts w:ascii="Times New Roman" w:hAnsi="Times New Roman" w:cs="Times New Roman"/>
          <w:i/>
          <w:szCs w:val="24"/>
        </w:rPr>
        <w:t>pramā</w:t>
      </w:r>
      <w:r w:rsidRPr="00C74DE0">
        <w:rPr>
          <w:rStyle w:val="Emphasis"/>
          <w:rFonts w:ascii="Times New Roman" w:hAnsi="Times New Roman" w:cs="Times New Roman"/>
          <w:szCs w:val="24"/>
        </w:rPr>
        <w:t>ṇ</w:t>
      </w:r>
      <w:r w:rsidRPr="00C74DE0">
        <w:rPr>
          <w:rFonts w:ascii="Times New Roman" w:hAnsi="Times New Roman" w:cs="Times New Roman"/>
          <w:i/>
          <w:szCs w:val="24"/>
        </w:rPr>
        <w:t>a</w:t>
      </w:r>
      <w:r w:rsidRPr="00C74DE0">
        <w:rPr>
          <w:rFonts w:ascii="Times New Roman" w:hAnsi="Times New Roman" w:cs="Times New Roman"/>
          <w:szCs w:val="24"/>
        </w:rPr>
        <w:t xml:space="preserve">-s through the re-examination of the object by claiming what we acquired earlier. The entire process is considered through applying doubt to acquire true knowledge. That is why doubt is put into an exercise in </w:t>
      </w:r>
      <w:r w:rsidRPr="00C74DE0">
        <w:rPr>
          <w:rFonts w:ascii="Times New Roman" w:hAnsi="Times New Roman" w:cs="Times New Roman"/>
          <w:iCs/>
          <w:szCs w:val="24"/>
        </w:rPr>
        <w:t xml:space="preserve">Nyāya </w:t>
      </w:r>
      <w:r w:rsidRPr="00C74DE0">
        <w:rPr>
          <w:rFonts w:ascii="Times New Roman" w:hAnsi="Times New Roman" w:cs="Times New Roman"/>
          <w:szCs w:val="24"/>
        </w:rPr>
        <w:t>Philosophy.</w:t>
      </w:r>
    </w:p>
    <w:p w14:paraId="4C46EFA6" w14:textId="77777777" w:rsidR="00C74DE0" w:rsidRPr="00C74DE0" w:rsidRDefault="00C74DE0" w:rsidP="00C74DE0">
      <w:pPr>
        <w:spacing w:line="360" w:lineRule="auto"/>
        <w:jc w:val="both"/>
        <w:rPr>
          <w:rFonts w:ascii="Times New Roman" w:hAnsi="Times New Roman" w:cs="Times New Roman"/>
          <w:b/>
          <w:szCs w:val="24"/>
        </w:rPr>
      </w:pPr>
      <w:r w:rsidRPr="00C74DE0">
        <w:rPr>
          <w:rFonts w:ascii="Times New Roman" w:hAnsi="Times New Roman" w:cs="Times New Roman"/>
          <w:b/>
          <w:szCs w:val="24"/>
        </w:rPr>
        <w:t>Incentive (</w:t>
      </w:r>
      <w:r w:rsidRPr="00C74DE0">
        <w:rPr>
          <w:rFonts w:ascii="Times New Roman" w:hAnsi="Times New Roman" w:cs="Times New Roman"/>
          <w:b/>
          <w:i/>
          <w:szCs w:val="24"/>
        </w:rPr>
        <w:t>prayojana</w:t>
      </w:r>
      <w:r w:rsidRPr="00C74DE0">
        <w:rPr>
          <w:rFonts w:ascii="Times New Roman" w:hAnsi="Times New Roman" w:cs="Times New Roman"/>
          <w:b/>
          <w:szCs w:val="24"/>
        </w:rPr>
        <w:t>)</w:t>
      </w:r>
    </w:p>
    <w:p w14:paraId="58647FCE" w14:textId="0E690F5A"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An incentive is a means through which one can decide how to attain a particular activity or avoid it. Thus, incentives have a major role to play in the success of an activity. Therefore, we could say that all living beings, their activities</w:t>
      </w:r>
      <w:r w:rsidR="002136E1">
        <w:rPr>
          <w:rFonts w:ascii="Times New Roman" w:hAnsi="Times New Roman" w:cs="Times New Roman"/>
          <w:szCs w:val="24"/>
        </w:rPr>
        <w:t>,</w:t>
      </w:r>
      <w:r w:rsidRPr="00C74DE0">
        <w:rPr>
          <w:rFonts w:ascii="Times New Roman" w:hAnsi="Times New Roman" w:cs="Times New Roman"/>
          <w:szCs w:val="24"/>
        </w:rPr>
        <w:t xml:space="preserve"> and all the branches of knowledge (</w:t>
      </w:r>
      <w:r w:rsidRPr="00C74DE0">
        <w:rPr>
          <w:rFonts w:ascii="Times New Roman" w:hAnsi="Times New Roman" w:cs="Times New Roman"/>
          <w:i/>
          <w:szCs w:val="24"/>
        </w:rPr>
        <w:t>vidyā</w:t>
      </w:r>
      <w:r w:rsidRPr="00C74DE0">
        <w:rPr>
          <w:rFonts w:ascii="Times New Roman" w:hAnsi="Times New Roman" w:cs="Times New Roman"/>
          <w:szCs w:val="24"/>
        </w:rPr>
        <w:t xml:space="preserve">) are to be penetrated by incentive. Traditionally, four incentives are mentioned, namely, </w:t>
      </w:r>
      <w:r w:rsidRPr="00C74DE0">
        <w:rPr>
          <w:rFonts w:ascii="Times New Roman" w:hAnsi="Times New Roman" w:cs="Times New Roman"/>
          <w:i/>
          <w:szCs w:val="24"/>
        </w:rPr>
        <w:t>dharma</w:t>
      </w:r>
      <w:r w:rsidRPr="00C74DE0">
        <w:rPr>
          <w:rFonts w:ascii="Times New Roman" w:hAnsi="Times New Roman" w:cs="Times New Roman"/>
          <w:szCs w:val="24"/>
        </w:rPr>
        <w:t xml:space="preserve">, </w:t>
      </w:r>
      <w:r w:rsidRPr="00C74DE0">
        <w:rPr>
          <w:rFonts w:ascii="Times New Roman" w:hAnsi="Times New Roman" w:cs="Times New Roman"/>
          <w:i/>
          <w:szCs w:val="24"/>
        </w:rPr>
        <w:t>artha</w:t>
      </w:r>
      <w:r w:rsidRPr="00C74DE0">
        <w:rPr>
          <w:rFonts w:ascii="Times New Roman" w:hAnsi="Times New Roman" w:cs="Times New Roman"/>
          <w:szCs w:val="24"/>
        </w:rPr>
        <w:t xml:space="preserve">, </w:t>
      </w:r>
      <w:r w:rsidRPr="00C74DE0">
        <w:rPr>
          <w:rFonts w:ascii="Times New Roman" w:hAnsi="Times New Roman" w:cs="Times New Roman"/>
          <w:i/>
          <w:szCs w:val="24"/>
        </w:rPr>
        <w:t>kāma</w:t>
      </w:r>
      <w:r w:rsidRPr="00C74DE0">
        <w:rPr>
          <w:rFonts w:ascii="Times New Roman" w:hAnsi="Times New Roman" w:cs="Times New Roman"/>
          <w:szCs w:val="24"/>
        </w:rPr>
        <w:t xml:space="preserve">, and </w:t>
      </w:r>
      <w:r w:rsidRPr="00C74DE0">
        <w:rPr>
          <w:rFonts w:ascii="Times New Roman" w:hAnsi="Times New Roman" w:cs="Times New Roman"/>
          <w:i/>
          <w:szCs w:val="24"/>
        </w:rPr>
        <w:t>mokṣa</w:t>
      </w:r>
      <w:r w:rsidRPr="00C74DE0">
        <w:rPr>
          <w:rFonts w:ascii="Times New Roman" w:hAnsi="Times New Roman" w:cs="Times New Roman"/>
          <w:szCs w:val="24"/>
        </w:rPr>
        <w:t>. However, Uddyotkara critically mentioned that the presence of incentives for every human being is the attainment of pleasure and the avoidance of pain because this is the only cause of human activities (Ibid., p. 14). According to Vātsyāyana, incentives involve undesirable objects also, i.e.</w:t>
      </w:r>
      <w:r w:rsidR="002136E1">
        <w:rPr>
          <w:rFonts w:ascii="Times New Roman" w:hAnsi="Times New Roman" w:cs="Times New Roman"/>
          <w:szCs w:val="24"/>
        </w:rPr>
        <w:t>,</w:t>
      </w:r>
      <w:r w:rsidRPr="00C74DE0">
        <w:rPr>
          <w:rFonts w:ascii="Times New Roman" w:hAnsi="Times New Roman" w:cs="Times New Roman"/>
          <w:szCs w:val="24"/>
        </w:rPr>
        <w:t xml:space="preserve"> the objects shunned. The nature of pain and its cause can also be considered as an undesirable object. Thus, it can urge action that needs to be avoided. Here lies the need for the separate mentioning of incentives. Without the incentive of removing doubt, there is no scope for </w:t>
      </w:r>
      <w:r w:rsidRPr="00C74DE0">
        <w:rPr>
          <w:rFonts w:ascii="Times New Roman" w:hAnsi="Times New Roman" w:cs="Times New Roman"/>
          <w:i/>
          <w:szCs w:val="24"/>
        </w:rPr>
        <w:lastRenderedPageBreak/>
        <w:t xml:space="preserve">nyāya </w:t>
      </w:r>
      <w:r w:rsidRPr="00C74DE0">
        <w:rPr>
          <w:rFonts w:ascii="Times New Roman" w:hAnsi="Times New Roman" w:cs="Times New Roman"/>
          <w:szCs w:val="24"/>
        </w:rPr>
        <w:t>(</w:t>
      </w:r>
      <w:r w:rsidRPr="00C74DE0">
        <w:rPr>
          <w:rFonts w:ascii="Times New Roman" w:hAnsi="Times New Roman" w:cs="Times New Roman"/>
          <w:i/>
          <w:szCs w:val="24"/>
        </w:rPr>
        <w:t>anvikṣiki</w:t>
      </w:r>
      <w:r w:rsidRPr="00C74DE0">
        <w:rPr>
          <w:rFonts w:ascii="Times New Roman" w:hAnsi="Times New Roman" w:cs="Times New Roman"/>
          <w:i/>
          <w:color w:val="EE0000"/>
          <w:szCs w:val="24"/>
        </w:rPr>
        <w:t>-vidyā</w:t>
      </w:r>
      <w:r w:rsidRPr="00C74DE0">
        <w:rPr>
          <w:rFonts w:ascii="Times New Roman" w:hAnsi="Times New Roman" w:cs="Times New Roman"/>
          <w:szCs w:val="24"/>
        </w:rPr>
        <w:t xml:space="preserve">) (Ibid., p. 14). </w:t>
      </w:r>
      <w:r w:rsidRPr="00C74DE0">
        <w:rPr>
          <w:rFonts w:ascii="Times New Roman" w:hAnsi="Times New Roman" w:cs="Times New Roman"/>
          <w:i/>
          <w:szCs w:val="24"/>
        </w:rPr>
        <w:t>Nyāya</w:t>
      </w:r>
      <w:r w:rsidRPr="00C74DE0">
        <w:rPr>
          <w:rFonts w:ascii="Times New Roman" w:hAnsi="Times New Roman" w:cs="Times New Roman"/>
          <w:szCs w:val="24"/>
        </w:rPr>
        <w:t xml:space="preserve"> is also taken into employment only because of its basis or its own incentive (</w:t>
      </w:r>
      <w:r w:rsidRPr="00C74DE0">
        <w:rPr>
          <w:rFonts w:ascii="Times New Roman" w:hAnsi="Times New Roman" w:cs="Times New Roman"/>
          <w:i/>
          <w:szCs w:val="24"/>
        </w:rPr>
        <w:t>prayojana</w:t>
      </w:r>
      <w:r w:rsidRPr="00C74DE0">
        <w:rPr>
          <w:rFonts w:ascii="Times New Roman" w:hAnsi="Times New Roman" w:cs="Times New Roman"/>
          <w:szCs w:val="24"/>
        </w:rPr>
        <w:t xml:space="preserve">). If there is some definite cause for the employment of </w:t>
      </w:r>
      <w:r w:rsidRPr="00C74DE0">
        <w:rPr>
          <w:rFonts w:ascii="Times New Roman" w:hAnsi="Times New Roman" w:cs="Times New Roman"/>
          <w:i/>
          <w:szCs w:val="24"/>
        </w:rPr>
        <w:t>nyāya</w:t>
      </w:r>
      <w:r w:rsidRPr="00C74DE0">
        <w:rPr>
          <w:rFonts w:ascii="Times New Roman" w:hAnsi="Times New Roman" w:cs="Times New Roman"/>
          <w:szCs w:val="24"/>
        </w:rPr>
        <w:t xml:space="preserve">, then the question is how it stands in considering a discussion and what it means for </w:t>
      </w:r>
      <w:r w:rsidRPr="00C74DE0">
        <w:rPr>
          <w:rFonts w:ascii="Times New Roman" w:hAnsi="Times New Roman" w:cs="Times New Roman"/>
          <w:i/>
          <w:szCs w:val="24"/>
        </w:rPr>
        <w:t>nyāya</w:t>
      </w:r>
      <w:r w:rsidRPr="00C74DE0">
        <w:rPr>
          <w:rFonts w:ascii="Times New Roman" w:hAnsi="Times New Roman" w:cs="Times New Roman"/>
          <w:szCs w:val="24"/>
        </w:rPr>
        <w:t xml:space="preserve">. Vātsyāyana defined the nature of </w:t>
      </w:r>
      <w:r w:rsidRPr="00C74DE0">
        <w:rPr>
          <w:rFonts w:ascii="Times New Roman" w:hAnsi="Times New Roman" w:cs="Times New Roman"/>
          <w:i/>
          <w:szCs w:val="24"/>
        </w:rPr>
        <w:t>nyāya</w:t>
      </w:r>
      <w:r w:rsidRPr="00C74DE0">
        <w:rPr>
          <w:rFonts w:ascii="Times New Roman" w:hAnsi="Times New Roman" w:cs="Times New Roman"/>
          <w:szCs w:val="24"/>
        </w:rPr>
        <w:t xml:space="preserve"> in his </w:t>
      </w:r>
      <w:r w:rsidRPr="00C74DE0">
        <w:rPr>
          <w:rFonts w:ascii="Times New Roman" w:hAnsi="Times New Roman" w:cs="Times New Roman"/>
          <w:i/>
          <w:szCs w:val="24"/>
        </w:rPr>
        <w:t>Bhāsya</w:t>
      </w:r>
      <w:r w:rsidRPr="00C74DE0">
        <w:rPr>
          <w:rFonts w:ascii="Times New Roman" w:hAnsi="Times New Roman" w:cs="Times New Roman"/>
          <w:szCs w:val="24"/>
        </w:rPr>
        <w:t>, i.e.</w:t>
      </w:r>
    </w:p>
    <w:p w14:paraId="2287ED23" w14:textId="0658BC31" w:rsidR="00C74DE0" w:rsidRPr="00C74DE0" w:rsidRDefault="00C74DE0" w:rsidP="00C74DE0">
      <w:pPr>
        <w:spacing w:line="360" w:lineRule="auto"/>
        <w:ind w:left="720" w:right="720"/>
        <w:jc w:val="both"/>
        <w:rPr>
          <w:rFonts w:ascii="Times New Roman" w:hAnsi="Times New Roman" w:cs="Times New Roman"/>
          <w:szCs w:val="24"/>
        </w:rPr>
      </w:pPr>
      <w:r w:rsidRPr="00C74DE0">
        <w:rPr>
          <w:rFonts w:ascii="Times New Roman" w:hAnsi="Times New Roman" w:cs="Times New Roman"/>
          <w:szCs w:val="24"/>
        </w:rPr>
        <w:t>“</w:t>
      </w:r>
      <w:r w:rsidR="002C35AC">
        <w:rPr>
          <w:rFonts w:ascii="Times New Roman" w:hAnsi="Times New Roman" w:cs="Times New Roman"/>
          <w:i/>
          <w:szCs w:val="24"/>
        </w:rPr>
        <w:t>Nyaya</w:t>
      </w:r>
      <w:r w:rsidRPr="00C74DE0">
        <w:rPr>
          <w:rFonts w:ascii="Times New Roman" w:hAnsi="Times New Roman" w:cs="Times New Roman"/>
          <w:szCs w:val="24"/>
        </w:rPr>
        <w:t xml:space="preserve"> is the examination of an object with the help of the instrument of valid knowledge (</w:t>
      </w:r>
      <w:r w:rsidRPr="00C74DE0">
        <w:rPr>
          <w:rFonts w:ascii="Times New Roman" w:hAnsi="Times New Roman" w:cs="Times New Roman"/>
          <w:i/>
          <w:szCs w:val="24"/>
        </w:rPr>
        <w:t>pramā</w:t>
      </w:r>
      <w:r w:rsidRPr="00C74DE0">
        <w:rPr>
          <w:rStyle w:val="Emphasis"/>
          <w:rFonts w:ascii="Times New Roman" w:hAnsi="Times New Roman" w:cs="Times New Roman"/>
          <w:szCs w:val="24"/>
        </w:rPr>
        <w:t>ṇ</w:t>
      </w:r>
      <w:r w:rsidRPr="00C74DE0">
        <w:rPr>
          <w:rFonts w:ascii="Times New Roman" w:hAnsi="Times New Roman" w:cs="Times New Roman"/>
          <w:i/>
          <w:szCs w:val="24"/>
        </w:rPr>
        <w:t>a</w:t>
      </w:r>
      <w:r w:rsidRPr="00C74DE0">
        <w:rPr>
          <w:rFonts w:ascii="Times New Roman" w:hAnsi="Times New Roman" w:cs="Times New Roman"/>
          <w:szCs w:val="24"/>
        </w:rPr>
        <w:t xml:space="preserve">-s). The inference which is not contradicted by the perception and scripture is called </w:t>
      </w:r>
      <w:r w:rsidRPr="00C74DE0">
        <w:rPr>
          <w:rFonts w:ascii="Times New Roman" w:hAnsi="Times New Roman" w:cs="Times New Roman"/>
          <w:i/>
          <w:szCs w:val="24"/>
        </w:rPr>
        <w:t>anviksā</w:t>
      </w:r>
      <w:r w:rsidRPr="00C74DE0">
        <w:rPr>
          <w:rFonts w:ascii="Times New Roman" w:hAnsi="Times New Roman" w:cs="Times New Roman"/>
          <w:szCs w:val="24"/>
        </w:rPr>
        <w:t>, that is, the knowing over again (</w:t>
      </w:r>
      <w:r w:rsidRPr="00C74DE0">
        <w:rPr>
          <w:rFonts w:ascii="Times New Roman" w:hAnsi="Times New Roman" w:cs="Times New Roman"/>
          <w:i/>
          <w:szCs w:val="24"/>
        </w:rPr>
        <w:t>anu</w:t>
      </w:r>
      <w:r w:rsidRPr="00C74DE0">
        <w:rPr>
          <w:rFonts w:ascii="Times New Roman" w:hAnsi="Times New Roman" w:cs="Times New Roman"/>
          <w:szCs w:val="24"/>
        </w:rPr>
        <w:t>, literally ‘after’) of that which is already known (</w:t>
      </w:r>
      <w:r w:rsidRPr="00C74DE0">
        <w:rPr>
          <w:rFonts w:ascii="Times New Roman" w:hAnsi="Times New Roman" w:cs="Times New Roman"/>
          <w:i/>
          <w:szCs w:val="24"/>
        </w:rPr>
        <w:t>iksitā</w:t>
      </w:r>
      <w:r w:rsidRPr="00C74DE0">
        <w:rPr>
          <w:rFonts w:ascii="Times New Roman" w:hAnsi="Times New Roman" w:cs="Times New Roman"/>
          <w:szCs w:val="24"/>
        </w:rPr>
        <w:t xml:space="preserve">) by perception and scripture. </w:t>
      </w:r>
      <w:r w:rsidRPr="00C74DE0">
        <w:rPr>
          <w:rFonts w:ascii="Times New Roman" w:hAnsi="Times New Roman" w:cs="Times New Roman"/>
          <w:i/>
          <w:szCs w:val="24"/>
        </w:rPr>
        <w:t xml:space="preserve">Anvikṣa </w:t>
      </w:r>
      <w:r w:rsidRPr="00C74DE0">
        <w:rPr>
          <w:rFonts w:ascii="Times New Roman" w:hAnsi="Times New Roman" w:cs="Times New Roman"/>
          <w:szCs w:val="24"/>
        </w:rPr>
        <w:t xml:space="preserve">= </w:t>
      </w:r>
      <w:r w:rsidRPr="00C74DE0">
        <w:rPr>
          <w:rFonts w:ascii="Times New Roman" w:hAnsi="Times New Roman" w:cs="Times New Roman"/>
          <w:i/>
          <w:szCs w:val="24"/>
        </w:rPr>
        <w:t>anu</w:t>
      </w:r>
      <w:r w:rsidRPr="00C74DE0">
        <w:rPr>
          <w:rFonts w:ascii="Times New Roman" w:hAnsi="Times New Roman" w:cs="Times New Roman"/>
          <w:szCs w:val="24"/>
        </w:rPr>
        <w:t xml:space="preserve"> (after) + </w:t>
      </w:r>
      <w:r w:rsidRPr="00C74DE0">
        <w:rPr>
          <w:rFonts w:ascii="Times New Roman" w:hAnsi="Times New Roman" w:cs="Times New Roman"/>
          <w:i/>
          <w:szCs w:val="24"/>
        </w:rPr>
        <w:t>ikṣā</w:t>
      </w:r>
      <w:r w:rsidRPr="00C74DE0">
        <w:rPr>
          <w:rFonts w:ascii="Times New Roman" w:hAnsi="Times New Roman" w:cs="Times New Roman"/>
          <w:szCs w:val="24"/>
        </w:rPr>
        <w:t xml:space="preserve"> (knowledge). This branch of knowledge is called </w:t>
      </w:r>
      <w:r w:rsidRPr="00C74DE0">
        <w:rPr>
          <w:rFonts w:ascii="Times New Roman" w:hAnsi="Times New Roman" w:cs="Times New Roman"/>
          <w:i/>
          <w:szCs w:val="24"/>
        </w:rPr>
        <w:t>ānviksiki</w:t>
      </w:r>
      <w:r w:rsidRPr="00C74DE0">
        <w:rPr>
          <w:rFonts w:ascii="Times New Roman" w:hAnsi="Times New Roman" w:cs="Times New Roman"/>
          <w:szCs w:val="24"/>
        </w:rPr>
        <w:t xml:space="preserve"> or </w:t>
      </w:r>
      <w:r w:rsidRPr="00C74DE0">
        <w:rPr>
          <w:rFonts w:ascii="Times New Roman" w:hAnsi="Times New Roman" w:cs="Times New Roman"/>
          <w:i/>
          <w:szCs w:val="24"/>
        </w:rPr>
        <w:t xml:space="preserve">Nyāya-vidyā </w:t>
      </w:r>
      <w:r w:rsidRPr="00C74DE0">
        <w:rPr>
          <w:rFonts w:ascii="Times New Roman" w:hAnsi="Times New Roman" w:cs="Times New Roman"/>
          <w:szCs w:val="24"/>
        </w:rPr>
        <w:t xml:space="preserve">or </w:t>
      </w:r>
      <w:r w:rsidR="002A065E">
        <w:rPr>
          <w:rFonts w:ascii="Times New Roman" w:hAnsi="Times New Roman" w:cs="Times New Roman"/>
          <w:i/>
          <w:szCs w:val="24"/>
        </w:rPr>
        <w:t>Nyāya-śāstra</w:t>
      </w:r>
      <w:r w:rsidRPr="00C74DE0">
        <w:rPr>
          <w:rFonts w:ascii="Times New Roman" w:hAnsi="Times New Roman" w:cs="Times New Roman"/>
          <w:szCs w:val="24"/>
        </w:rPr>
        <w:t>, because it is propagated for the discussion of that (i.e.</w:t>
      </w:r>
      <w:r w:rsidR="005229E6">
        <w:rPr>
          <w:rFonts w:ascii="Times New Roman" w:hAnsi="Times New Roman" w:cs="Times New Roman"/>
          <w:szCs w:val="24"/>
        </w:rPr>
        <w:t>,</w:t>
      </w:r>
      <w:r w:rsidRPr="00C74DE0">
        <w:rPr>
          <w:rFonts w:ascii="Times New Roman" w:hAnsi="Times New Roman" w:cs="Times New Roman"/>
          <w:i/>
          <w:szCs w:val="24"/>
        </w:rPr>
        <w:t xml:space="preserve"> anviksā</w:t>
      </w:r>
      <w:r w:rsidRPr="00C74DE0">
        <w:rPr>
          <w:rFonts w:ascii="Times New Roman" w:hAnsi="Times New Roman" w:cs="Times New Roman"/>
          <w:szCs w:val="24"/>
        </w:rPr>
        <w:t xml:space="preserve">). The perception which is contradicted by either perception or scripture is </w:t>
      </w:r>
      <w:r w:rsidRPr="00C74DE0">
        <w:rPr>
          <w:rFonts w:ascii="Times New Roman" w:hAnsi="Times New Roman" w:cs="Times New Roman"/>
          <w:i/>
          <w:szCs w:val="24"/>
        </w:rPr>
        <w:t>pseudo-nyaya</w:t>
      </w:r>
      <w:r w:rsidRPr="00C74DE0">
        <w:rPr>
          <w:rFonts w:ascii="Times New Roman" w:hAnsi="Times New Roman" w:cs="Times New Roman"/>
          <w:szCs w:val="24"/>
        </w:rPr>
        <w:t xml:space="preserve">.” (Ibid., p. 13) </w:t>
      </w:r>
    </w:p>
    <w:p w14:paraId="64D8213A" w14:textId="0033BF85" w:rsidR="00C74DE0" w:rsidRPr="002A065E"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 xml:space="preserve">Thus, </w:t>
      </w:r>
      <w:r w:rsidRPr="00C74DE0">
        <w:rPr>
          <w:rFonts w:ascii="Times New Roman" w:hAnsi="Times New Roman" w:cs="Times New Roman"/>
          <w:i/>
          <w:szCs w:val="24"/>
        </w:rPr>
        <w:t>nyāya</w:t>
      </w:r>
      <w:r w:rsidRPr="00C74DE0">
        <w:rPr>
          <w:rFonts w:ascii="Times New Roman" w:hAnsi="Times New Roman" w:cs="Times New Roman"/>
          <w:iCs/>
          <w:szCs w:val="24"/>
        </w:rPr>
        <w:t xml:space="preserve"> </w:t>
      </w:r>
      <w:r w:rsidRPr="00C74DE0">
        <w:rPr>
          <w:rFonts w:ascii="Times New Roman" w:hAnsi="Times New Roman" w:cs="Times New Roman"/>
          <w:szCs w:val="24"/>
        </w:rPr>
        <w:t>is concerned with correct thinking, and its methodological task is to acquire valid knowledge through correct reasoning. Gautama, in his sutra (1.1.24), defined incentive: “It is the object pursuing (</w:t>
      </w:r>
      <w:r w:rsidRPr="00C74DE0">
        <w:rPr>
          <w:rFonts w:ascii="Times New Roman" w:hAnsi="Times New Roman" w:cs="Times New Roman"/>
          <w:i/>
          <w:szCs w:val="24"/>
        </w:rPr>
        <w:t>adhikrtya</w:t>
      </w:r>
      <w:r w:rsidRPr="00C74DE0">
        <w:rPr>
          <w:rFonts w:ascii="Times New Roman" w:hAnsi="Times New Roman" w:cs="Times New Roman"/>
          <w:szCs w:val="24"/>
        </w:rPr>
        <w:t xml:space="preserve">) which one is led to activity” (Gautama, 1982, p. 35). Vātsyāyana pointed out that by incentive, one can understand an object for the attainment or avoidance through which one can decide whether he should acquire it or avoid it.   </w:t>
      </w:r>
    </w:p>
    <w:p w14:paraId="527FAD39" w14:textId="77777777"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b/>
          <w:szCs w:val="24"/>
        </w:rPr>
        <w:t>Ways of arriving at the final ascertainment (</w:t>
      </w:r>
      <w:r w:rsidRPr="00C74DE0">
        <w:rPr>
          <w:rFonts w:ascii="Times New Roman" w:hAnsi="Times New Roman" w:cs="Times New Roman"/>
          <w:b/>
          <w:i/>
          <w:szCs w:val="24"/>
        </w:rPr>
        <w:t>Nir</w:t>
      </w:r>
      <w:r w:rsidRPr="00C74DE0">
        <w:rPr>
          <w:rStyle w:val="Emphasis"/>
          <w:rFonts w:ascii="Times New Roman" w:hAnsi="Times New Roman" w:cs="Times New Roman"/>
          <w:b/>
          <w:bCs/>
          <w:szCs w:val="24"/>
        </w:rPr>
        <w:t>ṇ</w:t>
      </w:r>
      <w:r w:rsidRPr="00C74DE0">
        <w:rPr>
          <w:rFonts w:ascii="Times New Roman" w:hAnsi="Times New Roman" w:cs="Times New Roman"/>
          <w:b/>
          <w:i/>
          <w:szCs w:val="24"/>
        </w:rPr>
        <w:t>aya</w:t>
      </w:r>
      <w:r w:rsidRPr="00C74DE0">
        <w:rPr>
          <w:rFonts w:ascii="Times New Roman" w:hAnsi="Times New Roman" w:cs="Times New Roman"/>
          <w:b/>
          <w:szCs w:val="24"/>
        </w:rPr>
        <w:t>)</w:t>
      </w:r>
    </w:p>
    <w:p w14:paraId="072546EA" w14:textId="32EBC502"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 xml:space="preserve">The process of acquiring knowledge depends upon true observation, experience, and verification. For having valid cognition, it is mandatory to have an examination to verify the experience of what the knower knows. Therefore, the verification method plays a major role in investigating true cognition. An observation would be accurate if there </w:t>
      </w:r>
      <w:r w:rsidR="002A065E">
        <w:rPr>
          <w:rFonts w:ascii="Times New Roman" w:hAnsi="Times New Roman" w:cs="Times New Roman"/>
          <w:szCs w:val="24"/>
        </w:rPr>
        <w:t>were</w:t>
      </w:r>
      <w:r w:rsidRPr="00C74DE0">
        <w:rPr>
          <w:rFonts w:ascii="Times New Roman" w:hAnsi="Times New Roman" w:cs="Times New Roman"/>
          <w:szCs w:val="24"/>
        </w:rPr>
        <w:t xml:space="preserve"> a certain number of arguments that support it. </w:t>
      </w:r>
      <w:r w:rsidRPr="00C74DE0">
        <w:rPr>
          <w:rFonts w:ascii="Times New Roman" w:hAnsi="Times New Roman" w:cs="Times New Roman"/>
          <w:iCs/>
          <w:szCs w:val="24"/>
        </w:rPr>
        <w:t>Nyāya</w:t>
      </w:r>
      <w:r w:rsidRPr="00C74DE0">
        <w:rPr>
          <w:rFonts w:ascii="Times New Roman" w:hAnsi="Times New Roman" w:cs="Times New Roman"/>
          <w:szCs w:val="24"/>
        </w:rPr>
        <w:t xml:space="preserve"> philosophy also follows a similar method from the beginning of the discussion on sixteen categories for attaining </w:t>
      </w:r>
      <w:r w:rsidRPr="00C74DE0">
        <w:rPr>
          <w:rFonts w:ascii="Times New Roman" w:hAnsi="Times New Roman" w:cs="Times New Roman"/>
          <w:i/>
          <w:szCs w:val="24"/>
        </w:rPr>
        <w:t xml:space="preserve">summum bonum </w:t>
      </w:r>
      <w:r w:rsidRPr="00C74DE0">
        <w:rPr>
          <w:rFonts w:ascii="Times New Roman" w:hAnsi="Times New Roman" w:cs="Times New Roman"/>
          <w:szCs w:val="24"/>
        </w:rPr>
        <w:t>(liberation). And, as mentioned by Gautama</w:t>
      </w:r>
      <w:r w:rsidR="002A065E">
        <w:rPr>
          <w:rFonts w:ascii="Times New Roman" w:hAnsi="Times New Roman" w:cs="Times New Roman"/>
          <w:szCs w:val="24"/>
        </w:rPr>
        <w:t>,</w:t>
      </w:r>
      <w:r w:rsidRPr="00C74DE0">
        <w:rPr>
          <w:rFonts w:ascii="Times New Roman" w:hAnsi="Times New Roman" w:cs="Times New Roman"/>
          <w:szCs w:val="24"/>
        </w:rPr>
        <w:t xml:space="preserve"> liberation depends on the true cognition of categories. The process of verification determines the discussion of the categories. Final ascertainment can be employed only when the claim raised in </w:t>
      </w:r>
      <w:r w:rsidRPr="00C74DE0">
        <w:rPr>
          <w:rFonts w:ascii="Times New Roman" w:hAnsi="Times New Roman" w:cs="Times New Roman"/>
          <w:i/>
          <w:szCs w:val="24"/>
        </w:rPr>
        <w:t xml:space="preserve">vāda </w:t>
      </w:r>
      <w:r w:rsidRPr="00C74DE0">
        <w:rPr>
          <w:rFonts w:ascii="Times New Roman" w:hAnsi="Times New Roman" w:cs="Times New Roman"/>
          <w:szCs w:val="24"/>
        </w:rPr>
        <w:t xml:space="preserve">(discussion on the final ascertainment), </w:t>
      </w:r>
      <w:r w:rsidRPr="00C74DE0">
        <w:rPr>
          <w:rFonts w:ascii="Times New Roman" w:hAnsi="Times New Roman" w:cs="Times New Roman"/>
          <w:i/>
          <w:szCs w:val="24"/>
        </w:rPr>
        <w:t>jalpa</w:t>
      </w:r>
      <w:r w:rsidRPr="00C74DE0">
        <w:rPr>
          <w:rFonts w:ascii="Times New Roman" w:hAnsi="Times New Roman" w:cs="Times New Roman"/>
          <w:szCs w:val="24"/>
        </w:rPr>
        <w:t xml:space="preserve"> (debating on manoeuvre), </w:t>
      </w:r>
      <w:r w:rsidRPr="00C74DE0">
        <w:rPr>
          <w:rFonts w:ascii="Times New Roman" w:hAnsi="Times New Roman" w:cs="Times New Roman"/>
          <w:i/>
          <w:szCs w:val="24"/>
        </w:rPr>
        <w:t>vitandā</w:t>
      </w:r>
      <w:r w:rsidRPr="00C74DE0">
        <w:rPr>
          <w:rFonts w:ascii="Times New Roman" w:hAnsi="Times New Roman" w:cs="Times New Roman"/>
          <w:szCs w:val="24"/>
        </w:rPr>
        <w:t xml:space="preserve"> (destructive criticism), and </w:t>
      </w:r>
      <w:r w:rsidRPr="00C74DE0">
        <w:rPr>
          <w:rFonts w:ascii="Times New Roman" w:hAnsi="Times New Roman" w:cs="Times New Roman"/>
          <w:i/>
          <w:szCs w:val="24"/>
        </w:rPr>
        <w:t xml:space="preserve">tarka </w:t>
      </w:r>
      <w:r w:rsidRPr="00C74DE0">
        <w:rPr>
          <w:rFonts w:ascii="Times New Roman" w:hAnsi="Times New Roman" w:cs="Times New Roman"/>
          <w:szCs w:val="24"/>
        </w:rPr>
        <w:t xml:space="preserve">(hypothetical argument) is resolved. To resolve the issues raised in </w:t>
      </w:r>
      <w:r w:rsidRPr="00C74DE0">
        <w:rPr>
          <w:rFonts w:ascii="Times New Roman" w:hAnsi="Times New Roman" w:cs="Times New Roman"/>
          <w:i/>
          <w:szCs w:val="24"/>
        </w:rPr>
        <w:t>vāda</w:t>
      </w:r>
      <w:r w:rsidRPr="00C74DE0">
        <w:rPr>
          <w:rFonts w:ascii="Times New Roman" w:hAnsi="Times New Roman" w:cs="Times New Roman"/>
          <w:szCs w:val="24"/>
        </w:rPr>
        <w:t xml:space="preserve">, </w:t>
      </w:r>
      <w:r w:rsidRPr="00C74DE0">
        <w:rPr>
          <w:rFonts w:ascii="Times New Roman" w:hAnsi="Times New Roman" w:cs="Times New Roman"/>
          <w:i/>
          <w:szCs w:val="24"/>
        </w:rPr>
        <w:t>jalpa</w:t>
      </w:r>
      <w:r w:rsidRPr="00C74DE0">
        <w:rPr>
          <w:rFonts w:ascii="Times New Roman" w:hAnsi="Times New Roman" w:cs="Times New Roman"/>
          <w:szCs w:val="24"/>
        </w:rPr>
        <w:t xml:space="preserve">, </w:t>
      </w:r>
      <w:r w:rsidRPr="00C74DE0">
        <w:rPr>
          <w:rFonts w:ascii="Times New Roman" w:hAnsi="Times New Roman" w:cs="Times New Roman"/>
          <w:i/>
          <w:szCs w:val="24"/>
        </w:rPr>
        <w:t>vitandā</w:t>
      </w:r>
      <w:r w:rsidR="002A065E">
        <w:rPr>
          <w:rFonts w:ascii="Times New Roman" w:hAnsi="Times New Roman" w:cs="Times New Roman"/>
          <w:i/>
          <w:szCs w:val="24"/>
        </w:rPr>
        <w:t>,</w:t>
      </w:r>
      <w:r w:rsidRPr="00C74DE0">
        <w:rPr>
          <w:rFonts w:ascii="Times New Roman" w:hAnsi="Times New Roman" w:cs="Times New Roman"/>
          <w:szCs w:val="24"/>
        </w:rPr>
        <w:t xml:space="preserve"> and </w:t>
      </w:r>
      <w:r w:rsidRPr="00C74DE0">
        <w:rPr>
          <w:rFonts w:ascii="Times New Roman" w:hAnsi="Times New Roman" w:cs="Times New Roman"/>
          <w:i/>
          <w:szCs w:val="24"/>
        </w:rPr>
        <w:t>tarka</w:t>
      </w:r>
      <w:r w:rsidRPr="00C74DE0">
        <w:rPr>
          <w:rFonts w:ascii="Times New Roman" w:hAnsi="Times New Roman" w:cs="Times New Roman"/>
          <w:szCs w:val="24"/>
        </w:rPr>
        <w:t>,</w:t>
      </w:r>
      <w:r w:rsidRPr="00C74DE0">
        <w:rPr>
          <w:rFonts w:ascii="Times New Roman" w:hAnsi="Times New Roman" w:cs="Times New Roman"/>
          <w:i/>
          <w:szCs w:val="24"/>
        </w:rPr>
        <w:t xml:space="preserve"> </w:t>
      </w:r>
      <w:r w:rsidRPr="00C74DE0">
        <w:rPr>
          <w:rFonts w:ascii="Times New Roman" w:hAnsi="Times New Roman" w:cs="Times New Roman"/>
          <w:szCs w:val="24"/>
        </w:rPr>
        <w:t xml:space="preserve">we need to produce some supporting instances by which one can understand </w:t>
      </w:r>
      <w:r w:rsidRPr="00C74DE0">
        <w:rPr>
          <w:rFonts w:ascii="Times New Roman" w:hAnsi="Times New Roman" w:cs="Times New Roman"/>
          <w:szCs w:val="24"/>
        </w:rPr>
        <w:lastRenderedPageBreak/>
        <w:t xml:space="preserve">the true nature of an object. That is why Gautama produced favourable occurrences in his </w:t>
      </w:r>
      <w:r w:rsidRPr="00C74DE0">
        <w:rPr>
          <w:rFonts w:ascii="Times New Roman" w:hAnsi="Times New Roman" w:cs="Times New Roman"/>
          <w:i/>
          <w:szCs w:val="24"/>
        </w:rPr>
        <w:t>sūtra</w:t>
      </w:r>
      <w:r w:rsidRPr="00C74DE0">
        <w:rPr>
          <w:rFonts w:ascii="Times New Roman" w:hAnsi="Times New Roman" w:cs="Times New Roman"/>
          <w:szCs w:val="24"/>
        </w:rPr>
        <w:t xml:space="preserve"> as a category of acquiring true knowledge (e.g.</w:t>
      </w:r>
      <w:r w:rsidR="002A065E">
        <w:rPr>
          <w:rFonts w:ascii="Times New Roman" w:hAnsi="Times New Roman" w:cs="Times New Roman"/>
          <w:szCs w:val="24"/>
        </w:rPr>
        <w:t>,</w:t>
      </w:r>
      <w:r w:rsidRPr="00C74DE0">
        <w:rPr>
          <w:rFonts w:ascii="Times New Roman" w:hAnsi="Times New Roman" w:cs="Times New Roman"/>
          <w:szCs w:val="24"/>
        </w:rPr>
        <w:t xml:space="preserve"> </w:t>
      </w:r>
      <w:r w:rsidRPr="00C74DE0">
        <w:rPr>
          <w:rFonts w:ascii="Times New Roman" w:hAnsi="Times New Roman" w:cs="Times New Roman"/>
          <w:i/>
          <w:szCs w:val="24"/>
        </w:rPr>
        <w:t>dṛṣṭānta</w:t>
      </w:r>
      <w:r w:rsidRPr="00C74DE0">
        <w:rPr>
          <w:rFonts w:ascii="Times New Roman" w:hAnsi="Times New Roman" w:cs="Times New Roman"/>
          <w:szCs w:val="24"/>
        </w:rPr>
        <w:t xml:space="preserve">, </w:t>
      </w:r>
      <w:r w:rsidRPr="00C74DE0">
        <w:rPr>
          <w:rFonts w:ascii="Times New Roman" w:hAnsi="Times New Roman" w:cs="Times New Roman"/>
          <w:i/>
          <w:szCs w:val="24"/>
        </w:rPr>
        <w:t>siddhānta</w:t>
      </w:r>
      <w:r w:rsidRPr="00C74DE0">
        <w:rPr>
          <w:rFonts w:ascii="Times New Roman" w:hAnsi="Times New Roman" w:cs="Times New Roman"/>
          <w:szCs w:val="24"/>
        </w:rPr>
        <w:t xml:space="preserve">, </w:t>
      </w:r>
      <w:r w:rsidRPr="00C74DE0">
        <w:rPr>
          <w:rFonts w:ascii="Times New Roman" w:hAnsi="Times New Roman" w:cs="Times New Roman"/>
          <w:i/>
          <w:szCs w:val="24"/>
        </w:rPr>
        <w:t>avayava</w:t>
      </w:r>
      <w:r w:rsidRPr="00C74DE0">
        <w:rPr>
          <w:rFonts w:ascii="Times New Roman" w:hAnsi="Times New Roman" w:cs="Times New Roman"/>
          <w:szCs w:val="24"/>
        </w:rPr>
        <w:t>). Let us know the process of the ascertainment of how it works for true cognition.</w:t>
      </w:r>
    </w:p>
    <w:p w14:paraId="3C1E455E" w14:textId="1ACC66D6"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 xml:space="preserve">In the process of acquiring knowledge, </w:t>
      </w:r>
      <w:r w:rsidRPr="00C74DE0">
        <w:rPr>
          <w:rFonts w:ascii="Times New Roman" w:hAnsi="Times New Roman" w:cs="Times New Roman"/>
          <w:bCs/>
          <w:i/>
          <w:szCs w:val="24"/>
        </w:rPr>
        <w:t>dṛṣṭānta</w:t>
      </w:r>
      <w:r w:rsidRPr="00C74DE0">
        <w:rPr>
          <w:rFonts w:ascii="Times New Roman" w:hAnsi="Times New Roman" w:cs="Times New Roman"/>
          <w:szCs w:val="24"/>
        </w:rPr>
        <w:t xml:space="preserve"> is used as an instance for proving a particular claim. For example, if one has to </w:t>
      </w:r>
      <w:r w:rsidR="002A065E">
        <w:rPr>
          <w:rFonts w:ascii="Times New Roman" w:hAnsi="Times New Roman" w:cs="Times New Roman"/>
          <w:szCs w:val="24"/>
        </w:rPr>
        <w:t>establish</w:t>
      </w:r>
      <w:r w:rsidRPr="00C74DE0">
        <w:rPr>
          <w:rFonts w:ascii="Times New Roman" w:hAnsi="Times New Roman" w:cs="Times New Roman"/>
          <w:szCs w:val="24"/>
        </w:rPr>
        <w:t xml:space="preserve"> the existence of ‘fire on the hill’, then one should produce evidence by which the claim would succeed. To prove the claim, we need to have an instance, i.e.</w:t>
      </w:r>
      <w:r w:rsidR="002A065E">
        <w:rPr>
          <w:rFonts w:ascii="Times New Roman" w:hAnsi="Times New Roman" w:cs="Times New Roman"/>
          <w:szCs w:val="24"/>
        </w:rPr>
        <w:t>,</w:t>
      </w:r>
      <w:r w:rsidRPr="00C74DE0">
        <w:rPr>
          <w:rFonts w:ascii="Times New Roman" w:hAnsi="Times New Roman" w:cs="Times New Roman"/>
          <w:szCs w:val="24"/>
        </w:rPr>
        <w:t xml:space="preserve"> ‘in the kitchen we have seen that there is smoke in relation </w:t>
      </w:r>
      <w:r w:rsidR="002A065E">
        <w:rPr>
          <w:rFonts w:ascii="Times New Roman" w:hAnsi="Times New Roman" w:cs="Times New Roman"/>
          <w:szCs w:val="24"/>
        </w:rPr>
        <w:t>to</w:t>
      </w:r>
      <w:r w:rsidRPr="00C74DE0">
        <w:rPr>
          <w:rFonts w:ascii="Times New Roman" w:hAnsi="Times New Roman" w:cs="Times New Roman"/>
          <w:szCs w:val="24"/>
        </w:rPr>
        <w:t xml:space="preserve"> fire’, and it proclaims that ‘wherever there is smoke there is fire’. Without the existence of fire, we can’t imagine the existence of smoke, though fire can exist without smoke. Therefore, it is about the perception of an object, which doesn’t conflict with </w:t>
      </w:r>
      <w:r w:rsidR="002A065E">
        <w:rPr>
          <w:rFonts w:ascii="Times New Roman" w:hAnsi="Times New Roman" w:cs="Times New Roman"/>
          <w:szCs w:val="24"/>
        </w:rPr>
        <w:t xml:space="preserve">the </w:t>
      </w:r>
      <w:r w:rsidRPr="00C74DE0">
        <w:rPr>
          <w:rFonts w:ascii="Times New Roman" w:hAnsi="Times New Roman" w:cs="Times New Roman"/>
          <w:szCs w:val="24"/>
        </w:rPr>
        <w:t>layman’s approach as well as the expert's</w:t>
      </w:r>
      <w:r w:rsidR="002A065E">
        <w:rPr>
          <w:rFonts w:ascii="Times New Roman" w:hAnsi="Times New Roman" w:cs="Times New Roman"/>
          <w:szCs w:val="24"/>
        </w:rPr>
        <w:t>,</w:t>
      </w:r>
      <w:r w:rsidRPr="00C74DE0">
        <w:rPr>
          <w:rFonts w:ascii="Times New Roman" w:hAnsi="Times New Roman" w:cs="Times New Roman"/>
          <w:szCs w:val="24"/>
        </w:rPr>
        <w:t xml:space="preserve"> because the perception of that object would be similar for everybody. The inclusion of </w:t>
      </w:r>
      <w:r w:rsidRPr="00C74DE0">
        <w:rPr>
          <w:rFonts w:ascii="Times New Roman" w:hAnsi="Times New Roman" w:cs="Times New Roman"/>
          <w:i/>
          <w:szCs w:val="24"/>
        </w:rPr>
        <w:t xml:space="preserve">dṛṣṭānta </w:t>
      </w:r>
      <w:r w:rsidRPr="00C74DE0">
        <w:rPr>
          <w:rFonts w:ascii="Times New Roman" w:hAnsi="Times New Roman" w:cs="Times New Roman"/>
          <w:szCs w:val="24"/>
        </w:rPr>
        <w:t xml:space="preserve">in the object of valid knowledge would be valid for the inference and verbal testimony. Without the existence of </w:t>
      </w:r>
      <w:r w:rsidRPr="00C74DE0">
        <w:rPr>
          <w:rFonts w:ascii="Times New Roman" w:hAnsi="Times New Roman" w:cs="Times New Roman"/>
          <w:i/>
          <w:szCs w:val="24"/>
        </w:rPr>
        <w:t>dṛṣṭānta,</w:t>
      </w:r>
      <w:r w:rsidRPr="00C74DE0">
        <w:rPr>
          <w:rFonts w:ascii="Times New Roman" w:hAnsi="Times New Roman" w:cs="Times New Roman"/>
          <w:szCs w:val="24"/>
        </w:rPr>
        <w:t xml:space="preserve"> inference (</w:t>
      </w:r>
      <w:r w:rsidRPr="00C74DE0">
        <w:rPr>
          <w:rFonts w:ascii="Times New Roman" w:hAnsi="Times New Roman" w:cs="Times New Roman"/>
          <w:i/>
          <w:szCs w:val="24"/>
        </w:rPr>
        <w:t>anumāna</w:t>
      </w:r>
      <w:r w:rsidRPr="00C74DE0">
        <w:rPr>
          <w:rFonts w:ascii="Times New Roman" w:hAnsi="Times New Roman" w:cs="Times New Roman"/>
          <w:szCs w:val="24"/>
        </w:rPr>
        <w:t>) and verbal testimony (</w:t>
      </w:r>
      <w:bookmarkStart w:id="12" w:name="_Hlk209640138"/>
      <w:r w:rsidRPr="00C74DE0">
        <w:rPr>
          <w:rFonts w:ascii="Times New Roman" w:hAnsi="Times New Roman" w:cs="Times New Roman"/>
          <w:i/>
          <w:iCs/>
          <w:szCs w:val="24"/>
        </w:rPr>
        <w:t>Śabda</w:t>
      </w:r>
      <w:bookmarkEnd w:id="12"/>
      <w:r w:rsidRPr="00C74DE0">
        <w:rPr>
          <w:rFonts w:ascii="Times New Roman" w:hAnsi="Times New Roman" w:cs="Times New Roman"/>
          <w:szCs w:val="24"/>
        </w:rPr>
        <w:t xml:space="preserve">) cannot be established. It is also the basis of the application of </w:t>
      </w:r>
      <w:r w:rsidRPr="00C74DE0">
        <w:rPr>
          <w:rFonts w:ascii="Times New Roman" w:hAnsi="Times New Roman" w:cs="Times New Roman"/>
          <w:i/>
          <w:szCs w:val="24"/>
        </w:rPr>
        <w:t>Nyāya</w:t>
      </w:r>
      <w:r w:rsidRPr="00C74DE0">
        <w:rPr>
          <w:rFonts w:ascii="Times New Roman" w:hAnsi="Times New Roman" w:cs="Times New Roman"/>
          <w:szCs w:val="24"/>
        </w:rPr>
        <w:t xml:space="preserve">. “By (showing) the contradiction of the </w:t>
      </w:r>
      <w:r w:rsidRPr="00C74DE0">
        <w:rPr>
          <w:rFonts w:ascii="Times New Roman" w:hAnsi="Times New Roman" w:cs="Times New Roman"/>
          <w:i/>
          <w:szCs w:val="24"/>
        </w:rPr>
        <w:t>dṛṣṭānta</w:t>
      </w:r>
      <w:r w:rsidR="002A065E">
        <w:rPr>
          <w:rFonts w:ascii="Times New Roman" w:hAnsi="Times New Roman" w:cs="Times New Roman"/>
          <w:i/>
          <w:szCs w:val="24"/>
        </w:rPr>
        <w:t>,</w:t>
      </w:r>
      <w:r w:rsidRPr="00C74DE0">
        <w:rPr>
          <w:rFonts w:ascii="Times New Roman" w:hAnsi="Times New Roman" w:cs="Times New Roman"/>
          <w:szCs w:val="24"/>
        </w:rPr>
        <w:t xml:space="preserve"> the position of the opponent can be declared as refuted. By the substantiation of the </w:t>
      </w:r>
      <w:r w:rsidRPr="00C74DE0">
        <w:rPr>
          <w:rFonts w:ascii="Times New Roman" w:hAnsi="Times New Roman" w:cs="Times New Roman"/>
          <w:i/>
          <w:szCs w:val="24"/>
        </w:rPr>
        <w:t>dṛṣṭānta</w:t>
      </w:r>
      <w:r w:rsidRPr="00C74DE0">
        <w:rPr>
          <w:rFonts w:ascii="Times New Roman" w:hAnsi="Times New Roman" w:cs="Times New Roman"/>
          <w:szCs w:val="24"/>
        </w:rPr>
        <w:t xml:space="preserve">, one’s own position is well-established.” (Gautama, 1982, p. 35) It indicates that somebody who is sceptical and does admit a corroborative instance should surrender to scepticism because if the person doesn’t admit it, he cannot </w:t>
      </w:r>
      <w:r w:rsidR="002A065E">
        <w:rPr>
          <w:rFonts w:ascii="Times New Roman" w:hAnsi="Times New Roman" w:cs="Times New Roman"/>
          <w:szCs w:val="24"/>
        </w:rPr>
        <w:t>remain</w:t>
      </w:r>
      <w:r w:rsidRPr="00C74DE0">
        <w:rPr>
          <w:rFonts w:ascii="Times New Roman" w:hAnsi="Times New Roman" w:cs="Times New Roman"/>
          <w:szCs w:val="24"/>
        </w:rPr>
        <w:t xml:space="preserve"> silent to his opponent. Further, the mentioning of </w:t>
      </w:r>
      <w:r w:rsidRPr="00C74DE0">
        <w:rPr>
          <w:rFonts w:ascii="Times New Roman" w:hAnsi="Times New Roman" w:cs="Times New Roman"/>
          <w:i/>
          <w:szCs w:val="24"/>
        </w:rPr>
        <w:t>dṛṣṭānta</w:t>
      </w:r>
      <w:r w:rsidRPr="00C74DE0">
        <w:rPr>
          <w:rFonts w:ascii="Times New Roman" w:hAnsi="Times New Roman" w:cs="Times New Roman"/>
          <w:szCs w:val="24"/>
        </w:rPr>
        <w:t xml:space="preserve"> in Gautama </w:t>
      </w:r>
      <w:r w:rsidRPr="00C74DE0">
        <w:rPr>
          <w:rFonts w:ascii="Times New Roman" w:hAnsi="Times New Roman" w:cs="Times New Roman"/>
          <w:i/>
          <w:szCs w:val="24"/>
        </w:rPr>
        <w:t xml:space="preserve">sūtra </w:t>
      </w:r>
      <w:r w:rsidRPr="00C74DE0">
        <w:rPr>
          <w:rFonts w:ascii="Times New Roman" w:hAnsi="Times New Roman" w:cs="Times New Roman"/>
          <w:szCs w:val="24"/>
        </w:rPr>
        <w:t>could be justified by saying that “</w:t>
      </w:r>
      <w:r w:rsidRPr="00C74DE0">
        <w:rPr>
          <w:rFonts w:ascii="Times New Roman" w:hAnsi="Times New Roman" w:cs="Times New Roman"/>
          <w:i/>
          <w:szCs w:val="24"/>
        </w:rPr>
        <w:t>udāharana</w:t>
      </w:r>
      <w:r w:rsidRPr="00C74DE0">
        <w:rPr>
          <w:rFonts w:ascii="Times New Roman" w:hAnsi="Times New Roman" w:cs="Times New Roman"/>
          <w:szCs w:val="24"/>
        </w:rPr>
        <w:t xml:space="preserve"> is an instance which</w:t>
      </w:r>
      <w:r w:rsidR="002A065E">
        <w:rPr>
          <w:rFonts w:ascii="Times New Roman" w:hAnsi="Times New Roman" w:cs="Times New Roman"/>
          <w:szCs w:val="24"/>
        </w:rPr>
        <w:t>,</w:t>
      </w:r>
      <w:r w:rsidRPr="00C74DE0">
        <w:rPr>
          <w:rFonts w:ascii="Times New Roman" w:hAnsi="Times New Roman" w:cs="Times New Roman"/>
          <w:szCs w:val="24"/>
        </w:rPr>
        <w:t xml:space="preserve"> being similar to the subject (</w:t>
      </w:r>
      <w:r w:rsidRPr="00C74DE0">
        <w:rPr>
          <w:rFonts w:ascii="Times New Roman" w:hAnsi="Times New Roman" w:cs="Times New Roman"/>
          <w:i/>
          <w:szCs w:val="24"/>
        </w:rPr>
        <w:t>sādhya-dharmin</w:t>
      </w:r>
      <w:r w:rsidRPr="00C74DE0">
        <w:rPr>
          <w:rFonts w:ascii="Times New Roman" w:hAnsi="Times New Roman" w:cs="Times New Roman"/>
          <w:szCs w:val="24"/>
        </w:rPr>
        <w:t xml:space="preserve">) possesses its characteristic or </w:t>
      </w:r>
      <w:r w:rsidRPr="00C74DE0">
        <w:rPr>
          <w:rFonts w:ascii="Times New Roman" w:hAnsi="Times New Roman" w:cs="Times New Roman"/>
          <w:i/>
          <w:szCs w:val="24"/>
        </w:rPr>
        <w:t>tat-dharmabhāvin</w:t>
      </w:r>
      <w:r w:rsidRPr="00C74DE0">
        <w:rPr>
          <w:rFonts w:ascii="Times New Roman" w:hAnsi="Times New Roman" w:cs="Times New Roman"/>
          <w:szCs w:val="24"/>
        </w:rPr>
        <w:t xml:space="preserve"> (</w:t>
      </w:r>
      <w:r w:rsidRPr="00C74DE0">
        <w:rPr>
          <w:rFonts w:ascii="Times New Roman" w:hAnsi="Times New Roman" w:cs="Times New Roman"/>
          <w:i/>
          <w:szCs w:val="24"/>
        </w:rPr>
        <w:t>Nyāya-sūtra</w:t>
      </w:r>
      <w:r w:rsidRPr="00C74DE0">
        <w:rPr>
          <w:rFonts w:ascii="Times New Roman" w:hAnsi="Times New Roman" w:cs="Times New Roman"/>
          <w:szCs w:val="24"/>
        </w:rPr>
        <w:t xml:space="preserve"> i.1.36).” (Ibid., pp. 5-9) Therefore, by the application of </w:t>
      </w:r>
      <w:r w:rsidRPr="00C74DE0">
        <w:rPr>
          <w:rFonts w:ascii="Times New Roman" w:hAnsi="Times New Roman" w:cs="Times New Roman"/>
          <w:i/>
          <w:szCs w:val="24"/>
        </w:rPr>
        <w:t>dṛṣṭānta</w:t>
      </w:r>
      <w:r w:rsidR="002A065E">
        <w:rPr>
          <w:rFonts w:ascii="Times New Roman" w:hAnsi="Times New Roman" w:cs="Times New Roman"/>
          <w:i/>
          <w:szCs w:val="24"/>
        </w:rPr>
        <w:t>,</w:t>
      </w:r>
      <w:r w:rsidRPr="00C74DE0">
        <w:rPr>
          <w:rFonts w:ascii="Times New Roman" w:hAnsi="Times New Roman" w:cs="Times New Roman"/>
          <w:szCs w:val="24"/>
        </w:rPr>
        <w:t xml:space="preserve"> the position </w:t>
      </w:r>
      <w:r w:rsidR="005229E6">
        <w:rPr>
          <w:rFonts w:ascii="Times New Roman" w:hAnsi="Times New Roman" w:cs="Times New Roman"/>
          <w:szCs w:val="24"/>
        </w:rPr>
        <w:t>that</w:t>
      </w:r>
      <w:r w:rsidRPr="00C74DE0">
        <w:rPr>
          <w:rFonts w:ascii="Times New Roman" w:hAnsi="Times New Roman" w:cs="Times New Roman"/>
          <w:szCs w:val="24"/>
        </w:rPr>
        <w:t xml:space="preserve"> has clear perceptual evidence in reality could be established. However, it can also be acceptable that many scriptures in our culture are justified when it is based on verbal testimony (</w:t>
      </w:r>
      <w:r w:rsidRPr="00C74DE0">
        <w:rPr>
          <w:rFonts w:ascii="Times New Roman" w:hAnsi="Times New Roman" w:cs="Times New Roman"/>
          <w:i/>
          <w:iCs/>
          <w:szCs w:val="24"/>
        </w:rPr>
        <w:t>Śabda</w:t>
      </w:r>
      <w:r w:rsidRPr="00C74DE0">
        <w:rPr>
          <w:rFonts w:ascii="Times New Roman" w:hAnsi="Times New Roman" w:cs="Times New Roman"/>
          <w:szCs w:val="24"/>
        </w:rPr>
        <w:t xml:space="preserve">). With the justified truth based on verbal testimony and other grounds, we must discuss its methodology in </w:t>
      </w:r>
      <w:r w:rsidRPr="00C74DE0">
        <w:rPr>
          <w:rFonts w:ascii="Times New Roman" w:hAnsi="Times New Roman" w:cs="Times New Roman"/>
          <w:i/>
          <w:szCs w:val="24"/>
        </w:rPr>
        <w:t>siddhānta</w:t>
      </w:r>
      <w:r w:rsidRPr="00C74DE0">
        <w:rPr>
          <w:rFonts w:ascii="Times New Roman" w:hAnsi="Times New Roman" w:cs="Times New Roman"/>
          <w:szCs w:val="24"/>
        </w:rPr>
        <w:t xml:space="preserve">. </w:t>
      </w:r>
    </w:p>
    <w:p w14:paraId="7057F020" w14:textId="5A7962FA"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b/>
          <w:i/>
          <w:szCs w:val="24"/>
        </w:rPr>
        <w:t>Siddhānta</w:t>
      </w:r>
      <w:r w:rsidRPr="00C74DE0">
        <w:rPr>
          <w:rFonts w:ascii="Times New Roman" w:hAnsi="Times New Roman" w:cs="Times New Roman"/>
          <w:szCs w:val="24"/>
        </w:rPr>
        <w:t xml:space="preserve"> in Nyāya refers to a principle or doctrine by which one can differentiate how various forms of assertions and truth claims are different from one another. For example, if we look into </w:t>
      </w:r>
      <w:r w:rsidRPr="00C74DE0">
        <w:rPr>
          <w:rFonts w:ascii="Times New Roman" w:hAnsi="Times New Roman" w:cs="Times New Roman"/>
          <w:iCs/>
          <w:szCs w:val="24"/>
        </w:rPr>
        <w:t xml:space="preserve">Nyāya </w:t>
      </w:r>
      <w:r w:rsidRPr="00C74DE0">
        <w:rPr>
          <w:rFonts w:ascii="Times New Roman" w:hAnsi="Times New Roman" w:cs="Times New Roman"/>
          <w:szCs w:val="24"/>
        </w:rPr>
        <w:t xml:space="preserve">philosophy, we can see that it is </w:t>
      </w:r>
      <w:r w:rsidR="002A065E">
        <w:rPr>
          <w:rFonts w:ascii="Times New Roman" w:hAnsi="Times New Roman" w:cs="Times New Roman"/>
          <w:szCs w:val="24"/>
        </w:rPr>
        <w:t xml:space="preserve">an </w:t>
      </w:r>
      <w:r w:rsidRPr="00C74DE0">
        <w:rPr>
          <w:rFonts w:ascii="Times New Roman" w:hAnsi="Times New Roman" w:cs="Times New Roman"/>
          <w:szCs w:val="24"/>
        </w:rPr>
        <w:t>acceptable subject matter about the self, which is a substance</w:t>
      </w:r>
      <w:r w:rsidR="002A065E">
        <w:rPr>
          <w:rFonts w:ascii="Times New Roman" w:hAnsi="Times New Roman" w:cs="Times New Roman"/>
          <w:szCs w:val="24"/>
        </w:rPr>
        <w:t>,</w:t>
      </w:r>
      <w:r w:rsidRPr="00C74DE0">
        <w:rPr>
          <w:rFonts w:ascii="Times New Roman" w:hAnsi="Times New Roman" w:cs="Times New Roman"/>
          <w:szCs w:val="24"/>
        </w:rPr>
        <w:t xml:space="preserve"> and consciousness is the external quality of the self.  Gautama emphasised how </w:t>
      </w:r>
      <w:r w:rsidRPr="00C74DE0">
        <w:rPr>
          <w:rFonts w:ascii="Times New Roman" w:hAnsi="Times New Roman" w:cs="Times New Roman"/>
          <w:i/>
          <w:szCs w:val="24"/>
        </w:rPr>
        <w:t xml:space="preserve">siddhānta </w:t>
      </w:r>
      <w:r w:rsidRPr="00C74DE0">
        <w:rPr>
          <w:rFonts w:ascii="Times New Roman" w:hAnsi="Times New Roman" w:cs="Times New Roman"/>
          <w:szCs w:val="24"/>
        </w:rPr>
        <w:t xml:space="preserve">is used to examine the means of the object in the form that ‘exists’. It is a dogma resting on the authority of a particular school, hypothesis, or implication. In </w:t>
      </w:r>
      <w:r w:rsidRPr="00C74DE0">
        <w:rPr>
          <w:rFonts w:ascii="Times New Roman" w:hAnsi="Times New Roman" w:cs="Times New Roman"/>
          <w:i/>
          <w:szCs w:val="24"/>
        </w:rPr>
        <w:t>Nyāya</w:t>
      </w:r>
      <w:r w:rsidRPr="00C74DE0">
        <w:rPr>
          <w:rFonts w:ascii="Times New Roman" w:hAnsi="Times New Roman" w:cs="Times New Roman"/>
          <w:szCs w:val="24"/>
        </w:rPr>
        <w:t>-</w:t>
      </w:r>
      <w:r w:rsidRPr="00C74DE0">
        <w:rPr>
          <w:rFonts w:ascii="Times New Roman" w:hAnsi="Times New Roman" w:cs="Times New Roman"/>
          <w:i/>
          <w:szCs w:val="24"/>
        </w:rPr>
        <w:t>sūtra</w:t>
      </w:r>
      <w:r w:rsidRPr="00C74DE0">
        <w:rPr>
          <w:rFonts w:ascii="Times New Roman" w:hAnsi="Times New Roman" w:cs="Times New Roman"/>
          <w:szCs w:val="24"/>
        </w:rPr>
        <w:t xml:space="preserve"> Gautama defined </w:t>
      </w:r>
      <w:r w:rsidRPr="00C74DE0">
        <w:rPr>
          <w:rFonts w:ascii="Times New Roman" w:hAnsi="Times New Roman" w:cs="Times New Roman"/>
          <w:szCs w:val="24"/>
        </w:rPr>
        <w:lastRenderedPageBreak/>
        <w:t>that “</w:t>
      </w:r>
      <w:r w:rsidRPr="00C74DE0">
        <w:rPr>
          <w:rFonts w:ascii="Times New Roman" w:hAnsi="Times New Roman" w:cs="Times New Roman"/>
          <w:i/>
          <w:szCs w:val="24"/>
        </w:rPr>
        <w:t>siddhānta</w:t>
      </w:r>
      <w:r w:rsidRPr="00C74DE0">
        <w:rPr>
          <w:rFonts w:ascii="Times New Roman" w:hAnsi="Times New Roman" w:cs="Times New Roman"/>
          <w:szCs w:val="24"/>
        </w:rPr>
        <w:t xml:space="preserve"> is of four kinds owing to the distinction between ‘a dogma of all schools’ (</w:t>
      </w:r>
      <w:r w:rsidRPr="00C74DE0">
        <w:rPr>
          <w:rFonts w:ascii="Times New Roman" w:hAnsi="Times New Roman" w:cs="Times New Roman"/>
          <w:i/>
          <w:szCs w:val="24"/>
        </w:rPr>
        <w:t>sarva-tantra</w:t>
      </w:r>
      <w:r w:rsidRPr="00C74DE0">
        <w:rPr>
          <w:rFonts w:ascii="Times New Roman" w:hAnsi="Times New Roman" w:cs="Times New Roman"/>
          <w:szCs w:val="24"/>
        </w:rPr>
        <w:t>), ‘a dogma peculiar to some school’ (</w:t>
      </w:r>
      <w:r w:rsidRPr="00C74DE0">
        <w:rPr>
          <w:rFonts w:ascii="Times New Roman" w:hAnsi="Times New Roman" w:cs="Times New Roman"/>
          <w:i/>
          <w:szCs w:val="24"/>
        </w:rPr>
        <w:t>prati-tantra</w:t>
      </w:r>
      <w:r w:rsidRPr="00C74DE0">
        <w:rPr>
          <w:rFonts w:ascii="Times New Roman" w:hAnsi="Times New Roman" w:cs="Times New Roman"/>
          <w:szCs w:val="24"/>
        </w:rPr>
        <w:t>), ‘a hypothetical dogma’ (</w:t>
      </w:r>
      <w:r w:rsidRPr="00C74DE0">
        <w:rPr>
          <w:rFonts w:ascii="Times New Roman" w:hAnsi="Times New Roman" w:cs="Times New Roman"/>
          <w:i/>
          <w:szCs w:val="24"/>
        </w:rPr>
        <w:t>adhikarana</w:t>
      </w:r>
      <w:r w:rsidRPr="00C74DE0">
        <w:rPr>
          <w:rFonts w:ascii="Times New Roman" w:hAnsi="Times New Roman" w:cs="Times New Roman"/>
          <w:szCs w:val="24"/>
        </w:rPr>
        <w:t>), and ‘an implied dogma’ (</w:t>
      </w:r>
      <w:r w:rsidRPr="00C74DE0">
        <w:rPr>
          <w:rFonts w:ascii="Times New Roman" w:hAnsi="Times New Roman" w:cs="Times New Roman"/>
          <w:i/>
          <w:szCs w:val="24"/>
        </w:rPr>
        <w:t>abhyupagama</w:t>
      </w:r>
      <w:r w:rsidRPr="00C74DE0">
        <w:rPr>
          <w:rFonts w:ascii="Times New Roman" w:hAnsi="Times New Roman" w:cs="Times New Roman"/>
          <w:szCs w:val="24"/>
        </w:rPr>
        <w:t xml:space="preserve">).” (Vidyabhusana, 1971, p. 59) </w:t>
      </w:r>
      <w:r w:rsidRPr="00C74DE0">
        <w:rPr>
          <w:rFonts w:ascii="Times New Roman" w:hAnsi="Times New Roman" w:cs="Times New Roman"/>
          <w:iCs/>
          <w:szCs w:val="24"/>
        </w:rPr>
        <w:t>A dogma of all schools</w:t>
      </w:r>
      <w:r w:rsidRPr="00C74DE0">
        <w:rPr>
          <w:rFonts w:ascii="Times New Roman" w:hAnsi="Times New Roman" w:cs="Times New Roman"/>
          <w:i/>
          <w:szCs w:val="24"/>
        </w:rPr>
        <w:t xml:space="preserve"> </w:t>
      </w:r>
      <w:r w:rsidRPr="00C74DE0">
        <w:rPr>
          <w:rFonts w:ascii="Times New Roman" w:hAnsi="Times New Roman" w:cs="Times New Roman"/>
          <w:szCs w:val="24"/>
        </w:rPr>
        <w:t xml:space="preserve">is something that is not opposed to any school and is claimed by at least one school. For example, all schools accept the existence of five elements or five objects of sense. </w:t>
      </w:r>
      <w:r w:rsidRPr="00C74DE0">
        <w:rPr>
          <w:rFonts w:ascii="Times New Roman" w:hAnsi="Times New Roman" w:cs="Times New Roman"/>
          <w:iCs/>
          <w:szCs w:val="24"/>
        </w:rPr>
        <w:t>A dogma peculiar to some schools</w:t>
      </w:r>
      <w:r w:rsidRPr="00C74DE0">
        <w:rPr>
          <w:rFonts w:ascii="Times New Roman" w:hAnsi="Times New Roman" w:cs="Times New Roman"/>
          <w:szCs w:val="24"/>
        </w:rPr>
        <w:t xml:space="preserve"> is accepted by similar schools that agree with their ideological states but are rejected by the opposite school (e.g.</w:t>
      </w:r>
      <w:r w:rsidR="00FC4726">
        <w:rPr>
          <w:rFonts w:ascii="Times New Roman" w:hAnsi="Times New Roman" w:cs="Times New Roman"/>
          <w:szCs w:val="24"/>
        </w:rPr>
        <w:t>,</w:t>
      </w:r>
      <w:r w:rsidRPr="00C74DE0">
        <w:rPr>
          <w:rFonts w:ascii="Times New Roman" w:hAnsi="Times New Roman" w:cs="Times New Roman"/>
          <w:szCs w:val="24"/>
        </w:rPr>
        <w:t xml:space="preserve"> a thing cannot come into existence out of nothing). </w:t>
      </w:r>
      <w:r w:rsidRPr="00C74DE0">
        <w:rPr>
          <w:rFonts w:ascii="Times New Roman" w:hAnsi="Times New Roman" w:cs="Times New Roman"/>
          <w:iCs/>
          <w:szCs w:val="24"/>
        </w:rPr>
        <w:t>A hypothetical dogma</w:t>
      </w:r>
      <w:r w:rsidRPr="00C74DE0">
        <w:rPr>
          <w:rFonts w:ascii="Times New Roman" w:hAnsi="Times New Roman" w:cs="Times New Roman"/>
          <w:szCs w:val="24"/>
        </w:rPr>
        <w:t xml:space="preserve"> is a </w:t>
      </w:r>
      <w:r w:rsidRPr="00C74DE0">
        <w:rPr>
          <w:rFonts w:ascii="Times New Roman" w:hAnsi="Times New Roman" w:cs="Times New Roman"/>
          <w:i/>
          <w:szCs w:val="24"/>
        </w:rPr>
        <w:t xml:space="preserve">siddhānta </w:t>
      </w:r>
      <w:r w:rsidRPr="00C74DE0">
        <w:rPr>
          <w:rFonts w:ascii="Times New Roman" w:hAnsi="Times New Roman" w:cs="Times New Roman"/>
          <w:szCs w:val="24"/>
        </w:rPr>
        <w:t xml:space="preserve">‘which, if acceptable, can lead to the acceptance of another </w:t>
      </w:r>
      <w:r w:rsidRPr="00C74DE0">
        <w:rPr>
          <w:rFonts w:ascii="Times New Roman" w:hAnsi="Times New Roman" w:cs="Times New Roman"/>
          <w:i/>
          <w:szCs w:val="24"/>
        </w:rPr>
        <w:t>siddhānta</w:t>
      </w:r>
      <w:r w:rsidRPr="00C74DE0">
        <w:rPr>
          <w:rFonts w:ascii="Times New Roman" w:hAnsi="Times New Roman" w:cs="Times New Roman"/>
          <w:szCs w:val="24"/>
        </w:rPr>
        <w:t>’ (Ibid., p. 60) (e.g.</w:t>
      </w:r>
      <w:r w:rsidR="00FC4726">
        <w:rPr>
          <w:rFonts w:ascii="Times New Roman" w:hAnsi="Times New Roman" w:cs="Times New Roman"/>
          <w:szCs w:val="24"/>
        </w:rPr>
        <w:t>,</w:t>
      </w:r>
      <w:r w:rsidRPr="00C74DE0">
        <w:rPr>
          <w:rFonts w:ascii="Times New Roman" w:hAnsi="Times New Roman" w:cs="Times New Roman"/>
          <w:szCs w:val="24"/>
        </w:rPr>
        <w:t xml:space="preserve"> ‘there is an existing soul apart from the senses because it can recognise one and the same object by seeing and touching’). On the other hand, </w:t>
      </w:r>
      <w:r w:rsidRPr="00C74DE0">
        <w:rPr>
          <w:rFonts w:ascii="Times New Roman" w:hAnsi="Times New Roman" w:cs="Times New Roman"/>
          <w:iCs/>
          <w:szCs w:val="24"/>
        </w:rPr>
        <w:t>an implied dogma</w:t>
      </w:r>
      <w:r w:rsidRPr="00C74DE0">
        <w:rPr>
          <w:rFonts w:ascii="Times New Roman" w:hAnsi="Times New Roman" w:cs="Times New Roman"/>
          <w:i/>
          <w:szCs w:val="24"/>
        </w:rPr>
        <w:t xml:space="preserve"> </w:t>
      </w:r>
      <w:r w:rsidRPr="00C74DE0">
        <w:rPr>
          <w:rFonts w:ascii="Times New Roman" w:hAnsi="Times New Roman" w:cs="Times New Roman"/>
          <w:szCs w:val="24"/>
        </w:rPr>
        <w:t xml:space="preserve">is a kind of </w:t>
      </w:r>
      <w:r w:rsidRPr="00C74DE0">
        <w:rPr>
          <w:rFonts w:ascii="Times New Roman" w:hAnsi="Times New Roman" w:cs="Times New Roman"/>
          <w:i/>
          <w:szCs w:val="24"/>
        </w:rPr>
        <w:t xml:space="preserve">siddhānta </w:t>
      </w:r>
      <w:r w:rsidRPr="00C74DE0">
        <w:rPr>
          <w:rFonts w:ascii="Times New Roman" w:hAnsi="Times New Roman" w:cs="Times New Roman"/>
          <w:szCs w:val="24"/>
        </w:rPr>
        <w:t>‘which is not explicitly declared as such but follows from the examination of particulars concerning it, e.g.</w:t>
      </w:r>
      <w:r w:rsidR="00FC4726">
        <w:rPr>
          <w:rFonts w:ascii="Times New Roman" w:hAnsi="Times New Roman" w:cs="Times New Roman"/>
          <w:szCs w:val="24"/>
        </w:rPr>
        <w:t>,</w:t>
      </w:r>
      <w:r w:rsidRPr="00C74DE0">
        <w:rPr>
          <w:rFonts w:ascii="Times New Roman" w:hAnsi="Times New Roman" w:cs="Times New Roman"/>
          <w:szCs w:val="24"/>
        </w:rPr>
        <w:t xml:space="preserve"> the discussion of whether sound is eternal or non-eternal presupposes that it is a substance’(Ibid., p. 60). From these four kinds of </w:t>
      </w:r>
      <w:r w:rsidRPr="00C74DE0">
        <w:rPr>
          <w:rFonts w:ascii="Times New Roman" w:hAnsi="Times New Roman" w:cs="Times New Roman"/>
          <w:i/>
          <w:szCs w:val="24"/>
        </w:rPr>
        <w:t>siddhānta</w:t>
      </w:r>
      <w:r w:rsidRPr="00C74DE0">
        <w:rPr>
          <w:rFonts w:ascii="Times New Roman" w:hAnsi="Times New Roman" w:cs="Times New Roman"/>
          <w:szCs w:val="24"/>
        </w:rPr>
        <w:t>-s</w:t>
      </w:r>
      <w:r w:rsidR="00FC4726">
        <w:rPr>
          <w:rFonts w:ascii="Times New Roman" w:hAnsi="Times New Roman" w:cs="Times New Roman"/>
          <w:szCs w:val="24"/>
        </w:rPr>
        <w:t>,</w:t>
      </w:r>
      <w:r w:rsidRPr="00C74DE0">
        <w:rPr>
          <w:rFonts w:ascii="Times New Roman" w:hAnsi="Times New Roman" w:cs="Times New Roman"/>
          <w:szCs w:val="24"/>
        </w:rPr>
        <w:t xml:space="preserve"> one can state that </w:t>
      </w:r>
      <w:r w:rsidRPr="00C74DE0">
        <w:rPr>
          <w:rFonts w:ascii="Times New Roman" w:hAnsi="Times New Roman" w:cs="Times New Roman"/>
          <w:i/>
          <w:szCs w:val="24"/>
        </w:rPr>
        <w:t>siddhānta</w:t>
      </w:r>
      <w:r w:rsidRPr="00C74DE0">
        <w:rPr>
          <w:rFonts w:ascii="Times New Roman" w:hAnsi="Times New Roman" w:cs="Times New Roman"/>
          <w:szCs w:val="24"/>
        </w:rPr>
        <w:t xml:space="preserve"> is about the exemplification of a state by which one can acquire the valid cognition of a particular and can make the distinction between two relatives. It is included in his </w:t>
      </w:r>
      <w:r w:rsidRPr="00C74DE0">
        <w:rPr>
          <w:rFonts w:ascii="Times New Roman" w:hAnsi="Times New Roman" w:cs="Times New Roman"/>
          <w:i/>
          <w:szCs w:val="24"/>
        </w:rPr>
        <w:t>sūtra</w:t>
      </w:r>
      <w:r w:rsidRPr="00C74DE0">
        <w:rPr>
          <w:rFonts w:ascii="Times New Roman" w:hAnsi="Times New Roman" w:cs="Times New Roman"/>
          <w:szCs w:val="24"/>
        </w:rPr>
        <w:t>,</w:t>
      </w:r>
      <w:r w:rsidRPr="00C74DE0">
        <w:rPr>
          <w:rFonts w:ascii="Times New Roman" w:hAnsi="Times New Roman" w:cs="Times New Roman"/>
          <w:i/>
          <w:szCs w:val="24"/>
        </w:rPr>
        <w:t xml:space="preserve"> </w:t>
      </w:r>
      <w:r w:rsidRPr="00C74DE0">
        <w:rPr>
          <w:rFonts w:ascii="Times New Roman" w:hAnsi="Times New Roman" w:cs="Times New Roman"/>
          <w:szCs w:val="24"/>
        </w:rPr>
        <w:t xml:space="preserve">because without having the difference among the proved doctrines, </w:t>
      </w:r>
      <w:r w:rsidRPr="00C74DE0">
        <w:rPr>
          <w:rFonts w:ascii="Times New Roman" w:hAnsi="Times New Roman" w:cs="Times New Roman"/>
          <w:i/>
          <w:szCs w:val="24"/>
        </w:rPr>
        <w:t>vāda</w:t>
      </w:r>
      <w:r w:rsidRPr="00C74DE0">
        <w:rPr>
          <w:rFonts w:ascii="Times New Roman" w:hAnsi="Times New Roman" w:cs="Times New Roman"/>
          <w:szCs w:val="24"/>
        </w:rPr>
        <w:t xml:space="preserve">, </w:t>
      </w:r>
      <w:r w:rsidRPr="00C74DE0">
        <w:rPr>
          <w:rFonts w:ascii="Times New Roman" w:hAnsi="Times New Roman" w:cs="Times New Roman"/>
          <w:i/>
          <w:szCs w:val="24"/>
        </w:rPr>
        <w:t>jalpa</w:t>
      </w:r>
      <w:r w:rsidR="00FC4726">
        <w:rPr>
          <w:rFonts w:ascii="Times New Roman" w:hAnsi="Times New Roman" w:cs="Times New Roman"/>
          <w:i/>
          <w:szCs w:val="24"/>
        </w:rPr>
        <w:t>,</w:t>
      </w:r>
      <w:r w:rsidRPr="00C74DE0">
        <w:rPr>
          <w:rFonts w:ascii="Times New Roman" w:hAnsi="Times New Roman" w:cs="Times New Roman"/>
          <w:szCs w:val="24"/>
        </w:rPr>
        <w:t xml:space="preserve"> and </w:t>
      </w:r>
      <w:r w:rsidRPr="00C74DE0">
        <w:rPr>
          <w:rFonts w:ascii="Times New Roman" w:hAnsi="Times New Roman" w:cs="Times New Roman"/>
          <w:i/>
          <w:szCs w:val="24"/>
        </w:rPr>
        <w:t xml:space="preserve">vitandā </w:t>
      </w:r>
      <w:r w:rsidRPr="00C74DE0">
        <w:rPr>
          <w:rFonts w:ascii="Times New Roman" w:hAnsi="Times New Roman" w:cs="Times New Roman"/>
          <w:szCs w:val="24"/>
        </w:rPr>
        <w:t xml:space="preserve">cannot be employed as categories. Here, we have discussed the doctrines </w:t>
      </w:r>
      <w:r w:rsidR="00FC4726">
        <w:rPr>
          <w:rFonts w:ascii="Times New Roman" w:hAnsi="Times New Roman" w:cs="Times New Roman"/>
          <w:szCs w:val="24"/>
        </w:rPr>
        <w:t>that</w:t>
      </w:r>
      <w:r w:rsidRPr="00C74DE0">
        <w:rPr>
          <w:rFonts w:ascii="Times New Roman" w:hAnsi="Times New Roman" w:cs="Times New Roman"/>
          <w:szCs w:val="24"/>
        </w:rPr>
        <w:t xml:space="preserve"> are acceptable to different parties. By holding any position, they have their own ideology for accepting a particular truth. That is why the upcoming discussion will be about the position accepted by their different sources of knowledge (perception, inference, comparison</w:t>
      </w:r>
      <w:r w:rsidR="00FC4726">
        <w:rPr>
          <w:rFonts w:ascii="Times New Roman" w:hAnsi="Times New Roman" w:cs="Times New Roman"/>
          <w:szCs w:val="24"/>
        </w:rPr>
        <w:t>,</w:t>
      </w:r>
      <w:r w:rsidRPr="00C74DE0">
        <w:rPr>
          <w:rFonts w:ascii="Times New Roman" w:hAnsi="Times New Roman" w:cs="Times New Roman"/>
          <w:szCs w:val="24"/>
        </w:rPr>
        <w:t xml:space="preserve"> and verbal testimony, respectively).  </w:t>
      </w:r>
    </w:p>
    <w:p w14:paraId="78A3F8AD" w14:textId="54449D9D"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b/>
          <w:i/>
          <w:szCs w:val="24"/>
        </w:rPr>
        <w:t>Avayava</w:t>
      </w:r>
      <w:r w:rsidRPr="00C74DE0">
        <w:rPr>
          <w:rFonts w:ascii="Times New Roman" w:hAnsi="Times New Roman" w:cs="Times New Roman"/>
          <w:szCs w:val="24"/>
        </w:rPr>
        <w:t xml:space="preserve"> is used as </w:t>
      </w:r>
      <w:r w:rsidR="00FC4726">
        <w:rPr>
          <w:rFonts w:ascii="Times New Roman" w:hAnsi="Times New Roman" w:cs="Times New Roman"/>
          <w:szCs w:val="24"/>
        </w:rPr>
        <w:t>a</w:t>
      </w:r>
      <w:r w:rsidRPr="00C74DE0">
        <w:rPr>
          <w:rFonts w:ascii="Times New Roman" w:hAnsi="Times New Roman" w:cs="Times New Roman"/>
          <w:szCs w:val="24"/>
        </w:rPr>
        <w:t xml:space="preserve"> component of inference. The ‘components of an inference’ are characterised as </w:t>
      </w:r>
      <w:r w:rsidRPr="00C74DE0">
        <w:rPr>
          <w:rFonts w:ascii="Times New Roman" w:hAnsi="Times New Roman" w:cs="Times New Roman"/>
          <w:i/>
          <w:szCs w:val="24"/>
        </w:rPr>
        <w:t>pratijn͂ā</w:t>
      </w:r>
      <w:r w:rsidRPr="00C74DE0">
        <w:rPr>
          <w:rFonts w:ascii="Times New Roman" w:hAnsi="Times New Roman" w:cs="Times New Roman"/>
          <w:szCs w:val="24"/>
        </w:rPr>
        <w:t xml:space="preserve"> (that which is to be established), </w:t>
      </w:r>
      <w:r w:rsidRPr="00C74DE0">
        <w:rPr>
          <w:rFonts w:ascii="Times New Roman" w:hAnsi="Times New Roman" w:cs="Times New Roman"/>
          <w:i/>
          <w:szCs w:val="24"/>
        </w:rPr>
        <w:t>hetū</w:t>
      </w:r>
      <w:r w:rsidRPr="00C74DE0">
        <w:rPr>
          <w:rFonts w:ascii="Times New Roman" w:hAnsi="Times New Roman" w:cs="Times New Roman"/>
          <w:szCs w:val="24"/>
        </w:rPr>
        <w:t xml:space="preserve"> (reason), </w:t>
      </w:r>
      <w:r w:rsidRPr="00C74DE0">
        <w:rPr>
          <w:rFonts w:ascii="Times New Roman" w:hAnsi="Times New Roman" w:cs="Times New Roman"/>
          <w:i/>
          <w:szCs w:val="24"/>
        </w:rPr>
        <w:t>udāharaṇa</w:t>
      </w:r>
      <w:r w:rsidRPr="00C74DE0">
        <w:rPr>
          <w:rFonts w:ascii="Times New Roman" w:hAnsi="Times New Roman" w:cs="Times New Roman"/>
          <w:szCs w:val="24"/>
        </w:rPr>
        <w:t xml:space="preserve"> (an explanatory example), </w:t>
      </w:r>
      <w:r w:rsidRPr="00C74DE0">
        <w:rPr>
          <w:rFonts w:ascii="Times New Roman" w:hAnsi="Times New Roman" w:cs="Times New Roman"/>
          <w:i/>
          <w:szCs w:val="24"/>
        </w:rPr>
        <w:t>upanaya</w:t>
      </w:r>
      <w:r w:rsidRPr="00C74DE0">
        <w:rPr>
          <w:rFonts w:ascii="Times New Roman" w:hAnsi="Times New Roman" w:cs="Times New Roman"/>
          <w:szCs w:val="24"/>
        </w:rPr>
        <w:t xml:space="preserve"> (an application of the example), and </w:t>
      </w:r>
      <w:r w:rsidRPr="00C74DE0">
        <w:rPr>
          <w:rFonts w:ascii="Times New Roman" w:hAnsi="Times New Roman" w:cs="Times New Roman"/>
          <w:i/>
          <w:szCs w:val="24"/>
        </w:rPr>
        <w:t>nigamana</w:t>
      </w:r>
      <w:r w:rsidRPr="00C74DE0">
        <w:rPr>
          <w:rFonts w:ascii="Times New Roman" w:hAnsi="Times New Roman" w:cs="Times New Roman"/>
          <w:szCs w:val="24"/>
        </w:rPr>
        <w:t xml:space="preserve"> (a statement of the conclusion). “Each of the five propositions (namely </w:t>
      </w:r>
      <w:r w:rsidRPr="00C74DE0">
        <w:rPr>
          <w:rFonts w:ascii="Times New Roman" w:hAnsi="Times New Roman" w:cs="Times New Roman"/>
          <w:i/>
          <w:szCs w:val="24"/>
        </w:rPr>
        <w:t>pratijn͂ā</w:t>
      </w:r>
      <w:r w:rsidRPr="00C74DE0">
        <w:rPr>
          <w:rFonts w:ascii="Times New Roman" w:hAnsi="Times New Roman" w:cs="Times New Roman"/>
          <w:szCs w:val="24"/>
        </w:rPr>
        <w:t>, etc.) with which the desired thesis is conclusively established (</w:t>
      </w:r>
      <w:r w:rsidRPr="00C74DE0">
        <w:rPr>
          <w:rFonts w:ascii="Times New Roman" w:hAnsi="Times New Roman" w:cs="Times New Roman"/>
          <w:i/>
          <w:szCs w:val="24"/>
        </w:rPr>
        <w:t>siddhih parisamāpyate</w:t>
      </w:r>
      <w:r w:rsidRPr="00C74DE0">
        <w:rPr>
          <w:rFonts w:ascii="Times New Roman" w:hAnsi="Times New Roman" w:cs="Times New Roman"/>
          <w:szCs w:val="24"/>
        </w:rPr>
        <w:t>) is called an inference-component (</w:t>
      </w:r>
      <w:r w:rsidRPr="00C74DE0">
        <w:rPr>
          <w:rFonts w:ascii="Times New Roman" w:hAnsi="Times New Roman" w:cs="Times New Roman"/>
          <w:i/>
          <w:szCs w:val="24"/>
        </w:rPr>
        <w:t>avayava</w:t>
      </w:r>
      <w:r w:rsidRPr="00C74DE0">
        <w:rPr>
          <w:rFonts w:ascii="Times New Roman" w:hAnsi="Times New Roman" w:cs="Times New Roman"/>
          <w:szCs w:val="24"/>
        </w:rPr>
        <w:t xml:space="preserve">) in relation to their totality” (Ibid., p. 60). The four </w:t>
      </w:r>
      <w:r w:rsidRPr="00C74DE0">
        <w:rPr>
          <w:rFonts w:ascii="Times New Roman" w:hAnsi="Times New Roman" w:cs="Times New Roman"/>
          <w:i/>
          <w:szCs w:val="24"/>
        </w:rPr>
        <w:t>pramāna</w:t>
      </w:r>
      <w:r w:rsidRPr="00C74DE0">
        <w:rPr>
          <w:rFonts w:ascii="Times New Roman" w:hAnsi="Times New Roman" w:cs="Times New Roman"/>
          <w:szCs w:val="24"/>
        </w:rPr>
        <w:t>-s are collectively present in these five components. The primary statement (</w:t>
      </w:r>
      <w:r w:rsidRPr="00C74DE0">
        <w:rPr>
          <w:rFonts w:ascii="Times New Roman" w:hAnsi="Times New Roman" w:cs="Times New Roman"/>
          <w:i/>
          <w:szCs w:val="24"/>
        </w:rPr>
        <w:t>pratijn͂ā</w:t>
      </w:r>
      <w:r w:rsidRPr="00C74DE0">
        <w:rPr>
          <w:rFonts w:ascii="Times New Roman" w:hAnsi="Times New Roman" w:cs="Times New Roman"/>
          <w:szCs w:val="24"/>
        </w:rPr>
        <w:t xml:space="preserve">) of </w:t>
      </w:r>
      <w:r w:rsidR="00FC4726">
        <w:rPr>
          <w:rFonts w:ascii="Times New Roman" w:hAnsi="Times New Roman" w:cs="Times New Roman"/>
          <w:szCs w:val="24"/>
        </w:rPr>
        <w:t xml:space="preserve">the </w:t>
      </w:r>
      <w:r w:rsidRPr="00C74DE0">
        <w:rPr>
          <w:rFonts w:ascii="Times New Roman" w:hAnsi="Times New Roman" w:cs="Times New Roman"/>
          <w:szCs w:val="24"/>
        </w:rPr>
        <w:t>thesis is verbal testimony (</w:t>
      </w:r>
      <w:r w:rsidRPr="00C74DE0">
        <w:rPr>
          <w:rFonts w:ascii="Times New Roman" w:hAnsi="Times New Roman" w:cs="Times New Roman"/>
          <w:i/>
          <w:szCs w:val="24"/>
        </w:rPr>
        <w:t>āgama</w:t>
      </w:r>
      <w:r w:rsidRPr="00C74DE0">
        <w:rPr>
          <w:rFonts w:ascii="Times New Roman" w:hAnsi="Times New Roman" w:cs="Times New Roman"/>
          <w:szCs w:val="24"/>
        </w:rPr>
        <w:t>). The probans (</w:t>
      </w:r>
      <w:r w:rsidRPr="00C74DE0">
        <w:rPr>
          <w:rFonts w:ascii="Times New Roman" w:hAnsi="Times New Roman" w:cs="Times New Roman"/>
          <w:i/>
          <w:szCs w:val="24"/>
        </w:rPr>
        <w:t>hetu</w:t>
      </w:r>
      <w:r w:rsidRPr="00C74DE0">
        <w:rPr>
          <w:rFonts w:ascii="Times New Roman" w:hAnsi="Times New Roman" w:cs="Times New Roman"/>
          <w:szCs w:val="24"/>
        </w:rPr>
        <w:t>) is inference (</w:t>
      </w:r>
      <w:r w:rsidRPr="00C74DE0">
        <w:rPr>
          <w:rFonts w:ascii="Times New Roman" w:hAnsi="Times New Roman" w:cs="Times New Roman"/>
          <w:i/>
          <w:szCs w:val="24"/>
        </w:rPr>
        <w:t>anumāna</w:t>
      </w:r>
      <w:r w:rsidRPr="00C74DE0">
        <w:rPr>
          <w:rFonts w:ascii="Times New Roman" w:hAnsi="Times New Roman" w:cs="Times New Roman"/>
          <w:szCs w:val="24"/>
        </w:rPr>
        <w:t>). The exemplification (</w:t>
      </w:r>
      <w:r w:rsidRPr="00C74DE0">
        <w:rPr>
          <w:rFonts w:ascii="Times New Roman" w:hAnsi="Times New Roman" w:cs="Times New Roman"/>
          <w:i/>
          <w:szCs w:val="24"/>
        </w:rPr>
        <w:t>udāharaṇa</w:t>
      </w:r>
      <w:r w:rsidRPr="00C74DE0">
        <w:rPr>
          <w:rFonts w:ascii="Times New Roman" w:hAnsi="Times New Roman" w:cs="Times New Roman"/>
          <w:szCs w:val="24"/>
        </w:rPr>
        <w:t>) is perception (</w:t>
      </w:r>
      <w:r w:rsidRPr="00C74DE0">
        <w:rPr>
          <w:rFonts w:ascii="Times New Roman" w:hAnsi="Times New Roman" w:cs="Times New Roman"/>
          <w:i/>
          <w:szCs w:val="24"/>
        </w:rPr>
        <w:t>pratyakṣa</w:t>
      </w:r>
      <w:r w:rsidRPr="00C74DE0">
        <w:rPr>
          <w:rFonts w:ascii="Times New Roman" w:hAnsi="Times New Roman" w:cs="Times New Roman"/>
          <w:szCs w:val="24"/>
        </w:rPr>
        <w:t>). The application is comparison (</w:t>
      </w:r>
      <w:r w:rsidRPr="00C74DE0">
        <w:rPr>
          <w:rFonts w:ascii="Times New Roman" w:hAnsi="Times New Roman" w:cs="Times New Roman"/>
          <w:i/>
          <w:szCs w:val="24"/>
        </w:rPr>
        <w:t>upamāna</w:t>
      </w:r>
      <w:r w:rsidRPr="00C74DE0">
        <w:rPr>
          <w:rFonts w:ascii="Times New Roman" w:hAnsi="Times New Roman" w:cs="Times New Roman"/>
          <w:szCs w:val="24"/>
        </w:rPr>
        <w:t>). The demonstration of all four components or propositions is used to derive the central thesis</w:t>
      </w:r>
      <w:r w:rsidR="00FC4726">
        <w:rPr>
          <w:rFonts w:ascii="Times New Roman" w:hAnsi="Times New Roman" w:cs="Times New Roman"/>
          <w:szCs w:val="24"/>
        </w:rPr>
        <w:t>,</w:t>
      </w:r>
      <w:r w:rsidRPr="00C74DE0">
        <w:rPr>
          <w:rFonts w:ascii="Times New Roman" w:hAnsi="Times New Roman" w:cs="Times New Roman"/>
          <w:szCs w:val="24"/>
        </w:rPr>
        <w:t xml:space="preserve"> which is called </w:t>
      </w:r>
      <w:r w:rsidR="00FC4726">
        <w:rPr>
          <w:rFonts w:ascii="Times New Roman" w:hAnsi="Times New Roman" w:cs="Times New Roman"/>
          <w:szCs w:val="24"/>
        </w:rPr>
        <w:t>the</w:t>
      </w:r>
      <w:r w:rsidRPr="00C74DE0">
        <w:rPr>
          <w:rFonts w:ascii="Times New Roman" w:hAnsi="Times New Roman" w:cs="Times New Roman"/>
          <w:szCs w:val="24"/>
        </w:rPr>
        <w:t xml:space="preserve"> conclusion (</w:t>
      </w:r>
      <w:r w:rsidRPr="00C74DE0">
        <w:rPr>
          <w:rFonts w:ascii="Times New Roman" w:hAnsi="Times New Roman" w:cs="Times New Roman"/>
          <w:i/>
          <w:szCs w:val="24"/>
        </w:rPr>
        <w:t>nigamana</w:t>
      </w:r>
      <w:r w:rsidRPr="00C74DE0">
        <w:rPr>
          <w:rFonts w:ascii="Times New Roman" w:hAnsi="Times New Roman" w:cs="Times New Roman"/>
          <w:szCs w:val="24"/>
        </w:rPr>
        <w:t xml:space="preserve">). Though inference components </w:t>
      </w:r>
      <w:r w:rsidRPr="00C74DE0">
        <w:rPr>
          <w:rFonts w:ascii="Times New Roman" w:hAnsi="Times New Roman" w:cs="Times New Roman"/>
          <w:szCs w:val="24"/>
        </w:rPr>
        <w:lastRenderedPageBreak/>
        <w:t xml:space="preserve">are cognised as the specific forms of words and, as such, included in the object of valid knowledge, this is also a reason for separate mentioning of </w:t>
      </w:r>
      <w:r w:rsidRPr="00C74DE0">
        <w:rPr>
          <w:rFonts w:ascii="Times New Roman" w:hAnsi="Times New Roman" w:cs="Times New Roman"/>
          <w:i/>
          <w:szCs w:val="24"/>
        </w:rPr>
        <w:t>avayava</w:t>
      </w:r>
      <w:r w:rsidRPr="00C74DE0">
        <w:rPr>
          <w:rFonts w:ascii="Times New Roman" w:hAnsi="Times New Roman" w:cs="Times New Roman"/>
          <w:szCs w:val="24"/>
        </w:rPr>
        <w:t xml:space="preserve"> (</w:t>
      </w:r>
      <w:r w:rsidRPr="00C74DE0">
        <w:rPr>
          <w:rFonts w:ascii="Times New Roman" w:hAnsi="Times New Roman" w:cs="Times New Roman"/>
          <w:i/>
          <w:szCs w:val="24"/>
        </w:rPr>
        <w:t>Nyāya-sūtra</w:t>
      </w:r>
      <w:r w:rsidRPr="00C74DE0">
        <w:rPr>
          <w:rFonts w:ascii="Times New Roman" w:hAnsi="Times New Roman" w:cs="Times New Roman"/>
          <w:szCs w:val="24"/>
        </w:rPr>
        <w:t xml:space="preserve">- i.1.1.) as a category. However, we know that the investigation process does not only depend on certain sources of cognition; it could also be possible </w:t>
      </w:r>
      <w:r w:rsidR="00FC4726">
        <w:rPr>
          <w:rFonts w:ascii="Times New Roman" w:hAnsi="Times New Roman" w:cs="Times New Roman"/>
          <w:szCs w:val="24"/>
        </w:rPr>
        <w:t>through</w:t>
      </w:r>
      <w:r w:rsidRPr="00C74DE0">
        <w:rPr>
          <w:rFonts w:ascii="Times New Roman" w:hAnsi="Times New Roman" w:cs="Times New Roman"/>
          <w:szCs w:val="24"/>
        </w:rPr>
        <w:t xml:space="preserve"> true reasoning and argumentation. </w:t>
      </w:r>
    </w:p>
    <w:p w14:paraId="45880B32" w14:textId="0D7CFBCC" w:rsidR="00C74DE0" w:rsidRPr="00C74DE0" w:rsidRDefault="00C74DE0" w:rsidP="00C74DE0">
      <w:pPr>
        <w:spacing w:line="360" w:lineRule="auto"/>
        <w:jc w:val="both"/>
        <w:rPr>
          <w:rFonts w:ascii="Times New Roman" w:hAnsi="Times New Roman" w:cs="Times New Roman"/>
          <w:szCs w:val="24"/>
        </w:rPr>
      </w:pPr>
      <w:bookmarkStart w:id="13" w:name="_Hlk194188912"/>
      <w:r w:rsidRPr="00C74DE0">
        <w:rPr>
          <w:rFonts w:ascii="Times New Roman" w:hAnsi="Times New Roman" w:cs="Times New Roman"/>
          <w:szCs w:val="24"/>
        </w:rPr>
        <w:t>‘Hypothetical argument’ (</w:t>
      </w:r>
      <w:r w:rsidRPr="00C74DE0">
        <w:rPr>
          <w:rFonts w:ascii="Times New Roman" w:hAnsi="Times New Roman" w:cs="Times New Roman"/>
          <w:b/>
          <w:i/>
          <w:szCs w:val="24"/>
        </w:rPr>
        <w:t>Tarka</w:t>
      </w:r>
      <w:r w:rsidRPr="00C74DE0">
        <w:rPr>
          <w:rFonts w:ascii="Times New Roman" w:hAnsi="Times New Roman" w:cs="Times New Roman"/>
          <w:szCs w:val="24"/>
        </w:rPr>
        <w:t xml:space="preserve">) is characterised as the process of ascertaining the real nature of a particular which is yet to be known, and the actual nature is revealed through the process of reasoning by showing the absurdity of all the contrary characters. For example, </w:t>
      </w:r>
      <w:r w:rsidRPr="00C74DE0">
        <w:rPr>
          <w:rFonts w:ascii="Times New Roman" w:hAnsi="Times New Roman" w:cs="Times New Roman"/>
          <w:i/>
          <w:iCs/>
          <w:szCs w:val="24"/>
        </w:rPr>
        <w:t>tarka</w:t>
      </w:r>
      <w:r w:rsidRPr="00C74DE0">
        <w:rPr>
          <w:rFonts w:ascii="Times New Roman" w:hAnsi="Times New Roman" w:cs="Times New Roman"/>
          <w:szCs w:val="24"/>
        </w:rPr>
        <w:t xml:space="preserve"> plays a role in acquiring true knowledge when we say ‘the soul is eternal or non-eternal’. Here, </w:t>
      </w:r>
      <w:r w:rsidR="00FC4726">
        <w:rPr>
          <w:rFonts w:ascii="Times New Roman" w:hAnsi="Times New Roman" w:cs="Times New Roman"/>
          <w:i/>
          <w:szCs w:val="24"/>
        </w:rPr>
        <w:t>Tarka</w:t>
      </w:r>
      <w:r w:rsidRPr="00C74DE0">
        <w:rPr>
          <w:rFonts w:ascii="Times New Roman" w:hAnsi="Times New Roman" w:cs="Times New Roman"/>
          <w:szCs w:val="24"/>
        </w:rPr>
        <w:t xml:space="preserve"> is employed by way of adducing some reason. Now, one can show a reason to support the statement that ‘soul is eternal’ by saying that “if the soul were non-eternal, it would be impossible for it to enjoy the results of its own action, to undergo transmigration, and to attain final emancipation. But such a conclusion is absurd because such possibilities are known to </w:t>
      </w:r>
      <w:r w:rsidR="00FC4726">
        <w:rPr>
          <w:rFonts w:ascii="Times New Roman" w:hAnsi="Times New Roman" w:cs="Times New Roman"/>
          <w:szCs w:val="24"/>
        </w:rPr>
        <w:t>belong</w:t>
      </w:r>
      <w:r w:rsidRPr="00C74DE0">
        <w:rPr>
          <w:rFonts w:ascii="Times New Roman" w:hAnsi="Times New Roman" w:cs="Times New Roman"/>
          <w:szCs w:val="24"/>
        </w:rPr>
        <w:t xml:space="preserve"> to the soul. Therefore, we must admit that the soul is eternal”(Ibid., p. 61). So, </w:t>
      </w:r>
      <w:r w:rsidR="00FC4726">
        <w:rPr>
          <w:rFonts w:ascii="Times New Roman" w:hAnsi="Times New Roman" w:cs="Times New Roman"/>
          <w:i/>
          <w:szCs w:val="24"/>
        </w:rPr>
        <w:t>Tarka</w:t>
      </w:r>
      <w:r w:rsidRPr="00C74DE0">
        <w:rPr>
          <w:rFonts w:ascii="Times New Roman" w:hAnsi="Times New Roman" w:cs="Times New Roman"/>
          <w:szCs w:val="24"/>
        </w:rPr>
        <w:t xml:space="preserve"> facilitates the knowledge of the truth because it judges the plausibility of true knowledge. On the other hand, it also helps to establish one’s own thesis and refute the opponent in a debate with correct reasoning. With the correct reasoning, one can establish a truth that would be acceptable to all. But, if an opponent still tries to establish his view, then it would be </w:t>
      </w:r>
      <w:r w:rsidR="00FC4726">
        <w:rPr>
          <w:rFonts w:ascii="Times New Roman" w:hAnsi="Times New Roman" w:cs="Times New Roman"/>
          <w:szCs w:val="24"/>
        </w:rPr>
        <w:t xml:space="preserve">a </w:t>
      </w:r>
      <w:r w:rsidRPr="00C74DE0">
        <w:rPr>
          <w:rFonts w:ascii="Times New Roman" w:hAnsi="Times New Roman" w:cs="Times New Roman"/>
          <w:szCs w:val="24"/>
        </w:rPr>
        <w:t>mere fact to give him space to produce correct reasoning to ascertain a particular truth.</w:t>
      </w:r>
      <w:bookmarkEnd w:id="13"/>
    </w:p>
    <w:p w14:paraId="0F224ADE" w14:textId="11EC03A4"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‘Final ascertainment’ (</w:t>
      </w:r>
      <w:r w:rsidRPr="00C74DE0">
        <w:rPr>
          <w:rFonts w:ascii="Times New Roman" w:hAnsi="Times New Roman" w:cs="Times New Roman"/>
          <w:b/>
          <w:i/>
          <w:szCs w:val="24"/>
        </w:rPr>
        <w:t>Nirn̩aya</w:t>
      </w:r>
      <w:r w:rsidRPr="00C74DE0">
        <w:rPr>
          <w:rFonts w:ascii="Times New Roman" w:hAnsi="Times New Roman" w:cs="Times New Roman"/>
          <w:szCs w:val="24"/>
        </w:rPr>
        <w:t>) is the final result of the instrument of valid knowledge</w:t>
      </w:r>
      <w:r w:rsidR="00FC4726">
        <w:rPr>
          <w:rFonts w:ascii="Times New Roman" w:hAnsi="Times New Roman" w:cs="Times New Roman"/>
          <w:szCs w:val="24"/>
        </w:rPr>
        <w:t>,</w:t>
      </w:r>
      <w:r w:rsidRPr="00C74DE0">
        <w:rPr>
          <w:rFonts w:ascii="Times New Roman" w:hAnsi="Times New Roman" w:cs="Times New Roman"/>
          <w:szCs w:val="24"/>
        </w:rPr>
        <w:t xml:space="preserve"> and </w:t>
      </w:r>
      <w:r w:rsidRPr="00C74DE0">
        <w:rPr>
          <w:rFonts w:ascii="Times New Roman" w:hAnsi="Times New Roman" w:cs="Times New Roman"/>
          <w:i/>
          <w:szCs w:val="24"/>
        </w:rPr>
        <w:t>vāda</w:t>
      </w:r>
      <w:r w:rsidRPr="00C74DE0">
        <w:rPr>
          <w:rFonts w:ascii="Times New Roman" w:hAnsi="Times New Roman" w:cs="Times New Roman"/>
          <w:szCs w:val="24"/>
        </w:rPr>
        <w:t xml:space="preserve"> ends with this. </w:t>
      </w:r>
      <w:r w:rsidRPr="00C74DE0">
        <w:rPr>
          <w:rFonts w:ascii="Times New Roman" w:hAnsi="Times New Roman" w:cs="Times New Roman"/>
          <w:i/>
          <w:szCs w:val="24"/>
        </w:rPr>
        <w:t>Jalpa</w:t>
      </w:r>
      <w:r w:rsidRPr="00C74DE0">
        <w:rPr>
          <w:rFonts w:ascii="Times New Roman" w:hAnsi="Times New Roman" w:cs="Times New Roman"/>
          <w:szCs w:val="24"/>
        </w:rPr>
        <w:t xml:space="preserve"> and </w:t>
      </w:r>
      <w:r w:rsidRPr="00C74DE0">
        <w:rPr>
          <w:rFonts w:ascii="Times New Roman" w:hAnsi="Times New Roman" w:cs="Times New Roman"/>
          <w:i/>
          <w:szCs w:val="24"/>
        </w:rPr>
        <w:t>vitandā</w:t>
      </w:r>
      <w:r w:rsidRPr="00C74DE0">
        <w:rPr>
          <w:rFonts w:ascii="Times New Roman" w:hAnsi="Times New Roman" w:cs="Times New Roman"/>
          <w:szCs w:val="24"/>
        </w:rPr>
        <w:t xml:space="preserve"> are intended to nurse it (</w:t>
      </w:r>
      <w:r w:rsidRPr="00C74DE0">
        <w:rPr>
          <w:rFonts w:ascii="Times New Roman" w:hAnsi="Times New Roman" w:cs="Times New Roman"/>
          <w:i/>
          <w:szCs w:val="24"/>
        </w:rPr>
        <w:t>pālanārtha</w:t>
      </w:r>
      <w:r w:rsidRPr="00C74DE0">
        <w:rPr>
          <w:rFonts w:ascii="Times New Roman" w:hAnsi="Times New Roman" w:cs="Times New Roman"/>
          <w:szCs w:val="24"/>
        </w:rPr>
        <w:t xml:space="preserve">). Vidyabhusana wrote in his book </w:t>
      </w:r>
      <w:r w:rsidRPr="00C74DE0">
        <w:rPr>
          <w:rFonts w:ascii="Times New Roman" w:hAnsi="Times New Roman" w:cs="Times New Roman"/>
          <w:i/>
          <w:szCs w:val="24"/>
        </w:rPr>
        <w:t>A History of Indian Logic</w:t>
      </w:r>
      <w:r w:rsidRPr="00C74DE0">
        <w:rPr>
          <w:rFonts w:ascii="Times New Roman" w:hAnsi="Times New Roman" w:cs="Times New Roman"/>
          <w:szCs w:val="24"/>
        </w:rPr>
        <w:t xml:space="preserve"> (</w:t>
      </w:r>
      <w:r w:rsidRPr="00C74DE0">
        <w:rPr>
          <w:rFonts w:ascii="Times New Roman" w:hAnsi="Times New Roman" w:cs="Times New Roman"/>
          <w:i/>
          <w:szCs w:val="24"/>
        </w:rPr>
        <w:t>Ancient, Mediaeval and Modern School</w:t>
      </w:r>
      <w:r w:rsidRPr="00C74DE0">
        <w:rPr>
          <w:rFonts w:ascii="Times New Roman" w:hAnsi="Times New Roman" w:cs="Times New Roman"/>
          <w:szCs w:val="24"/>
        </w:rPr>
        <w:t>)</w:t>
      </w:r>
      <w:r w:rsidR="00FC4726">
        <w:rPr>
          <w:rFonts w:ascii="Times New Roman" w:hAnsi="Times New Roman" w:cs="Times New Roman"/>
          <w:szCs w:val="24"/>
        </w:rPr>
        <w:t>,</w:t>
      </w:r>
      <w:r w:rsidRPr="00C74DE0">
        <w:rPr>
          <w:rFonts w:ascii="Times New Roman" w:hAnsi="Times New Roman" w:cs="Times New Roman"/>
          <w:szCs w:val="24"/>
        </w:rPr>
        <w:t xml:space="preserve"> explaining the nature of </w:t>
      </w:r>
      <w:r w:rsidRPr="00C74DE0">
        <w:rPr>
          <w:rFonts w:ascii="Times New Roman" w:hAnsi="Times New Roman" w:cs="Times New Roman"/>
          <w:i/>
          <w:szCs w:val="24"/>
        </w:rPr>
        <w:t>nir</w:t>
      </w:r>
      <w:r w:rsidRPr="00C74DE0">
        <w:rPr>
          <w:rFonts w:ascii="Times New Roman" w:hAnsi="Times New Roman" w:cs="Times New Roman"/>
          <w:bCs/>
          <w:i/>
          <w:szCs w:val="24"/>
        </w:rPr>
        <w:t>n̩</w:t>
      </w:r>
      <w:r w:rsidRPr="00C74DE0">
        <w:rPr>
          <w:rFonts w:ascii="Times New Roman" w:hAnsi="Times New Roman" w:cs="Times New Roman"/>
          <w:i/>
          <w:szCs w:val="24"/>
        </w:rPr>
        <w:t>aya</w:t>
      </w:r>
      <w:r w:rsidRPr="00C74DE0">
        <w:rPr>
          <w:rFonts w:ascii="Times New Roman" w:hAnsi="Times New Roman" w:cs="Times New Roman"/>
          <w:szCs w:val="24"/>
        </w:rPr>
        <w:t>:</w:t>
      </w:r>
    </w:p>
    <w:p w14:paraId="319EE7FD" w14:textId="77777777" w:rsidR="00C74DE0" w:rsidRPr="00C74DE0" w:rsidRDefault="00C74DE0" w:rsidP="00C74DE0">
      <w:pPr>
        <w:spacing w:line="360" w:lineRule="auto"/>
        <w:ind w:left="720" w:right="720"/>
        <w:jc w:val="both"/>
        <w:rPr>
          <w:rFonts w:ascii="Times New Roman" w:hAnsi="Times New Roman" w:cs="Times New Roman"/>
          <w:szCs w:val="24"/>
        </w:rPr>
      </w:pPr>
      <w:r w:rsidRPr="00C74DE0">
        <w:rPr>
          <w:rFonts w:ascii="Times New Roman" w:hAnsi="Times New Roman" w:cs="Times New Roman"/>
          <w:szCs w:val="24"/>
        </w:rPr>
        <w:t>“A person winks and doubts if certain statement advanced to him is supported by one of two parties, but opposed by the other party. His doubt is not removed until by the application of reason he can vindicate one of the parties. The process by which the vindication is effected is called ascertainment. Ascertainment is not, however, in all cases preceded by doubt, for instance, in the case of perception things are ascertained directly. So also we ascertain things directly by the authority of scriptures. But in the case of investigation (inference), doubt must precede ascertainment.”(Ibid., p. 61)</w:t>
      </w:r>
    </w:p>
    <w:p w14:paraId="3836975F" w14:textId="77777777"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lastRenderedPageBreak/>
        <w:t xml:space="preserve">From this quote, we can assert that </w:t>
      </w:r>
      <w:r w:rsidRPr="00C74DE0">
        <w:rPr>
          <w:rFonts w:ascii="Times New Roman" w:hAnsi="Times New Roman" w:cs="Times New Roman"/>
          <w:i/>
          <w:iCs/>
          <w:szCs w:val="24"/>
        </w:rPr>
        <w:t>nirṇaya</w:t>
      </w:r>
      <w:r w:rsidRPr="00C74DE0">
        <w:rPr>
          <w:rFonts w:ascii="Times New Roman" w:hAnsi="Times New Roman" w:cs="Times New Roman"/>
          <w:szCs w:val="24"/>
        </w:rPr>
        <w:t xml:space="preserve"> is the determination of a question laid for the removal of doubt, and there is also a space for the opposite sides, which are willing to propose their own views. By listening to all sides, one can acquire a reasonable and well-ascertained position. Therefore, it is a process of acquiring the truth of knowledge by which one can pursue one's life. It is separately mentioned as a category in </w:t>
      </w:r>
      <w:r w:rsidRPr="00C74DE0">
        <w:rPr>
          <w:rFonts w:ascii="Times New Roman" w:hAnsi="Times New Roman" w:cs="Times New Roman"/>
          <w:i/>
          <w:szCs w:val="24"/>
        </w:rPr>
        <w:t>Nyāya-sūtra</w:t>
      </w:r>
      <w:r w:rsidRPr="00C74DE0">
        <w:rPr>
          <w:rFonts w:ascii="Times New Roman" w:hAnsi="Times New Roman" w:cs="Times New Roman"/>
          <w:szCs w:val="24"/>
        </w:rPr>
        <w:t xml:space="preserve"> because it deals with the actual situation of the people.</w:t>
      </w:r>
    </w:p>
    <w:p w14:paraId="2159F5C6" w14:textId="77777777"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b/>
          <w:i/>
          <w:szCs w:val="24"/>
        </w:rPr>
        <w:t>Vāda</w:t>
      </w:r>
      <w:r w:rsidRPr="00C74DE0">
        <w:rPr>
          <w:rFonts w:ascii="Times New Roman" w:hAnsi="Times New Roman" w:cs="Times New Roman"/>
          <w:b/>
          <w:szCs w:val="24"/>
        </w:rPr>
        <w:t xml:space="preserve">, </w:t>
      </w:r>
      <w:r w:rsidRPr="00C74DE0">
        <w:rPr>
          <w:rFonts w:ascii="Times New Roman" w:hAnsi="Times New Roman" w:cs="Times New Roman"/>
          <w:b/>
          <w:i/>
          <w:szCs w:val="24"/>
        </w:rPr>
        <w:t>Jalpa</w:t>
      </w:r>
      <w:r w:rsidRPr="00C74DE0">
        <w:rPr>
          <w:rFonts w:ascii="Times New Roman" w:hAnsi="Times New Roman" w:cs="Times New Roman"/>
          <w:b/>
          <w:szCs w:val="24"/>
        </w:rPr>
        <w:t xml:space="preserve"> and </w:t>
      </w:r>
      <w:r w:rsidRPr="00C74DE0">
        <w:rPr>
          <w:rFonts w:ascii="Times New Roman" w:hAnsi="Times New Roman" w:cs="Times New Roman"/>
          <w:b/>
          <w:i/>
          <w:szCs w:val="24"/>
        </w:rPr>
        <w:t>Vitandā</w:t>
      </w:r>
      <w:r w:rsidRPr="00C74DE0">
        <w:rPr>
          <w:rFonts w:ascii="Times New Roman" w:hAnsi="Times New Roman" w:cs="Times New Roman"/>
          <w:szCs w:val="24"/>
        </w:rPr>
        <w:t xml:space="preserve"> </w:t>
      </w:r>
    </w:p>
    <w:p w14:paraId="133673BD" w14:textId="77777777"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‘Discussion for the final ascertainment’ (</w:t>
      </w:r>
      <w:r w:rsidRPr="00C74DE0">
        <w:rPr>
          <w:rFonts w:ascii="Times New Roman" w:hAnsi="Times New Roman" w:cs="Times New Roman"/>
          <w:b/>
          <w:i/>
          <w:szCs w:val="24"/>
        </w:rPr>
        <w:t>vāda</w:t>
      </w:r>
      <w:r w:rsidRPr="00C74DE0">
        <w:rPr>
          <w:rFonts w:ascii="Times New Roman" w:hAnsi="Times New Roman" w:cs="Times New Roman"/>
          <w:szCs w:val="24"/>
        </w:rPr>
        <w:t xml:space="preserve">) is offered by more than one party, each trying to establish its own thesis. Their debate stops by the ascertainment of one of the positions contended. Therefore, the discussion process laid by </w:t>
      </w:r>
      <w:r w:rsidRPr="00C74DE0">
        <w:rPr>
          <w:rFonts w:ascii="Times New Roman" w:hAnsi="Times New Roman" w:cs="Times New Roman"/>
          <w:i/>
          <w:szCs w:val="24"/>
        </w:rPr>
        <w:t>vāda</w:t>
      </w:r>
      <w:r w:rsidRPr="00C74DE0">
        <w:rPr>
          <w:rFonts w:ascii="Times New Roman" w:hAnsi="Times New Roman" w:cs="Times New Roman"/>
          <w:szCs w:val="24"/>
        </w:rPr>
        <w:t xml:space="preserve"> determines the truth, which is to be established by the true debate and the position, which deals with the reasonable account.</w:t>
      </w:r>
    </w:p>
    <w:p w14:paraId="2B02E617" w14:textId="4F162609"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Later, ‘the processes of debating manoeuvre’ (</w:t>
      </w:r>
      <w:r w:rsidRPr="00C74DE0">
        <w:rPr>
          <w:rFonts w:ascii="Times New Roman" w:hAnsi="Times New Roman" w:cs="Times New Roman"/>
          <w:b/>
          <w:i/>
          <w:szCs w:val="24"/>
        </w:rPr>
        <w:t>jalpa</w:t>
      </w:r>
      <w:r w:rsidRPr="00C74DE0">
        <w:rPr>
          <w:rFonts w:ascii="Times New Roman" w:hAnsi="Times New Roman" w:cs="Times New Roman"/>
          <w:szCs w:val="24"/>
        </w:rPr>
        <w:t xml:space="preserve">) is considered acting to achieve a goal fixed into the subject matter by the debater. In this process, one intends to build </w:t>
      </w:r>
      <w:r w:rsidR="00341426">
        <w:rPr>
          <w:rFonts w:ascii="Times New Roman" w:hAnsi="Times New Roman" w:cs="Times New Roman"/>
          <w:szCs w:val="24"/>
        </w:rPr>
        <w:t>one's</w:t>
      </w:r>
      <w:r w:rsidRPr="00C74DE0">
        <w:rPr>
          <w:rFonts w:ascii="Times New Roman" w:hAnsi="Times New Roman" w:cs="Times New Roman"/>
          <w:szCs w:val="24"/>
        </w:rPr>
        <w:t xml:space="preserve"> own thesis by rejecting </w:t>
      </w:r>
      <w:r w:rsidR="00341426">
        <w:rPr>
          <w:rFonts w:ascii="Times New Roman" w:hAnsi="Times New Roman" w:cs="Times New Roman"/>
          <w:szCs w:val="24"/>
        </w:rPr>
        <w:t>one's</w:t>
      </w:r>
      <w:r w:rsidRPr="00C74DE0">
        <w:rPr>
          <w:rFonts w:ascii="Times New Roman" w:hAnsi="Times New Roman" w:cs="Times New Roman"/>
          <w:szCs w:val="24"/>
        </w:rPr>
        <w:t xml:space="preserve"> opponent. There is no intention to find out the real truth about a subject. Therefore, it is a process by which one considers the truth inherent only in his thesis, nowhere else. For example, in the case of the </w:t>
      </w:r>
      <w:r w:rsidR="00341426">
        <w:rPr>
          <w:rFonts w:ascii="Times New Roman" w:hAnsi="Times New Roman" w:cs="Times New Roman"/>
          <w:szCs w:val="24"/>
        </w:rPr>
        <w:t>judicial</w:t>
      </w:r>
      <w:r w:rsidRPr="00C74DE0">
        <w:rPr>
          <w:rFonts w:ascii="Times New Roman" w:hAnsi="Times New Roman" w:cs="Times New Roman"/>
          <w:szCs w:val="24"/>
        </w:rPr>
        <w:t xml:space="preserve"> process, every lawyer tends to establish </w:t>
      </w:r>
      <w:r w:rsidR="00341426">
        <w:rPr>
          <w:rFonts w:ascii="Times New Roman" w:hAnsi="Times New Roman" w:cs="Times New Roman"/>
          <w:szCs w:val="24"/>
        </w:rPr>
        <w:t>their</w:t>
      </w:r>
      <w:r w:rsidRPr="00C74DE0">
        <w:rPr>
          <w:rFonts w:ascii="Times New Roman" w:hAnsi="Times New Roman" w:cs="Times New Roman"/>
          <w:szCs w:val="24"/>
        </w:rPr>
        <w:t xml:space="preserve"> own argument and, thereby, is supposed to be true and gain victory.</w:t>
      </w:r>
    </w:p>
    <w:p w14:paraId="2941BE53" w14:textId="4CDE08E4" w:rsidR="00C74DE0" w:rsidRPr="00C74DE0" w:rsidRDefault="00C74DE0" w:rsidP="00C74DE0">
      <w:pPr>
        <w:spacing w:line="360" w:lineRule="auto"/>
        <w:jc w:val="both"/>
        <w:rPr>
          <w:rFonts w:ascii="Times New Roman" w:hAnsi="Times New Roman" w:cs="Times New Roman"/>
          <w:szCs w:val="24"/>
        </w:rPr>
      </w:pPr>
      <w:bookmarkStart w:id="14" w:name="_Hlk209628639"/>
      <w:r w:rsidRPr="00C74DE0">
        <w:rPr>
          <w:rFonts w:ascii="Times New Roman" w:hAnsi="Times New Roman" w:cs="Times New Roman"/>
          <w:b/>
          <w:i/>
          <w:szCs w:val="24"/>
        </w:rPr>
        <w:t>Vitandā</w:t>
      </w:r>
      <w:bookmarkEnd w:id="14"/>
      <w:r w:rsidRPr="00C74DE0">
        <w:rPr>
          <w:rFonts w:ascii="Times New Roman" w:hAnsi="Times New Roman" w:cs="Times New Roman"/>
          <w:szCs w:val="24"/>
        </w:rPr>
        <w:t xml:space="preserve"> (cavil) “is a kind of wrangling which consists of a mere attack on the opposite side” (Vidyabhusana, 1971, p. 63). Therefore, it is a process where one has no endeavour to establish anything, being only critical of </w:t>
      </w:r>
      <w:r w:rsidR="00341426">
        <w:rPr>
          <w:rFonts w:ascii="Times New Roman" w:hAnsi="Times New Roman" w:cs="Times New Roman"/>
          <w:szCs w:val="24"/>
        </w:rPr>
        <w:t>their</w:t>
      </w:r>
      <w:r w:rsidRPr="00C74DE0">
        <w:rPr>
          <w:rFonts w:ascii="Times New Roman" w:hAnsi="Times New Roman" w:cs="Times New Roman"/>
          <w:szCs w:val="24"/>
        </w:rPr>
        <w:t xml:space="preserve"> opponent's argument. </w:t>
      </w:r>
    </w:p>
    <w:p w14:paraId="5A2F31F2" w14:textId="77777777" w:rsidR="00C74DE0" w:rsidRPr="00C74DE0" w:rsidRDefault="00C74DE0" w:rsidP="00C74DE0">
      <w:pPr>
        <w:spacing w:line="360" w:lineRule="auto"/>
        <w:jc w:val="both"/>
        <w:rPr>
          <w:rFonts w:ascii="Times New Roman" w:hAnsi="Times New Roman" w:cs="Times New Roman"/>
          <w:b/>
          <w:szCs w:val="24"/>
        </w:rPr>
      </w:pPr>
      <w:r w:rsidRPr="00C74DE0">
        <w:rPr>
          <w:rFonts w:ascii="Times New Roman" w:hAnsi="Times New Roman" w:cs="Times New Roman"/>
          <w:b/>
          <w:szCs w:val="24"/>
        </w:rPr>
        <w:t xml:space="preserve">The fallacious </w:t>
      </w:r>
      <w:r w:rsidRPr="00C74DE0">
        <w:rPr>
          <w:rFonts w:ascii="Times New Roman" w:hAnsi="Times New Roman" w:cs="Times New Roman"/>
          <w:b/>
          <w:i/>
          <w:szCs w:val="24"/>
        </w:rPr>
        <w:t>Hetū</w:t>
      </w:r>
      <w:r w:rsidRPr="00C74DE0">
        <w:rPr>
          <w:rFonts w:ascii="Times New Roman" w:hAnsi="Times New Roman" w:cs="Times New Roman"/>
          <w:b/>
          <w:szCs w:val="24"/>
        </w:rPr>
        <w:t xml:space="preserve"> (</w:t>
      </w:r>
      <w:r w:rsidRPr="00C74DE0">
        <w:rPr>
          <w:rFonts w:ascii="Times New Roman" w:hAnsi="Times New Roman" w:cs="Times New Roman"/>
          <w:b/>
          <w:i/>
          <w:szCs w:val="24"/>
        </w:rPr>
        <w:t>Hetvābhāsa</w:t>
      </w:r>
      <w:r w:rsidRPr="00C74DE0">
        <w:rPr>
          <w:rFonts w:ascii="Times New Roman" w:hAnsi="Times New Roman" w:cs="Times New Roman"/>
          <w:b/>
          <w:szCs w:val="24"/>
        </w:rPr>
        <w:t>)</w:t>
      </w:r>
    </w:p>
    <w:p w14:paraId="5F9BE8CE" w14:textId="11574A58"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 xml:space="preserve">Before discussing </w:t>
      </w:r>
      <w:r w:rsidRPr="00C74DE0">
        <w:rPr>
          <w:rFonts w:ascii="Times New Roman" w:hAnsi="Times New Roman" w:cs="Times New Roman"/>
          <w:b/>
          <w:i/>
          <w:szCs w:val="24"/>
        </w:rPr>
        <w:t>hetvābhāsa</w:t>
      </w:r>
      <w:r w:rsidR="00341426">
        <w:rPr>
          <w:rFonts w:ascii="Times New Roman" w:hAnsi="Times New Roman" w:cs="Times New Roman"/>
          <w:b/>
          <w:i/>
          <w:szCs w:val="24"/>
        </w:rPr>
        <w:t>,</w:t>
      </w:r>
      <w:r w:rsidRPr="00C74DE0">
        <w:rPr>
          <w:rFonts w:ascii="Times New Roman" w:hAnsi="Times New Roman" w:cs="Times New Roman"/>
          <w:szCs w:val="24"/>
        </w:rPr>
        <w:t xml:space="preserve"> it is necessary to raise a question on what correct reasoning or </w:t>
      </w:r>
      <w:r w:rsidRPr="00C74DE0">
        <w:rPr>
          <w:rFonts w:ascii="Times New Roman" w:hAnsi="Times New Roman" w:cs="Times New Roman"/>
          <w:i/>
          <w:szCs w:val="24"/>
        </w:rPr>
        <w:t xml:space="preserve">sat hetū </w:t>
      </w:r>
      <w:r w:rsidRPr="00C74DE0">
        <w:rPr>
          <w:rFonts w:ascii="Times New Roman" w:hAnsi="Times New Roman" w:cs="Times New Roman"/>
          <w:szCs w:val="24"/>
        </w:rPr>
        <w:t>is. Correct reasoning (</w:t>
      </w:r>
      <w:r w:rsidRPr="00C74DE0">
        <w:rPr>
          <w:rFonts w:ascii="Times New Roman" w:hAnsi="Times New Roman" w:cs="Times New Roman"/>
          <w:i/>
          <w:szCs w:val="24"/>
        </w:rPr>
        <w:t>sat hetū</w:t>
      </w:r>
      <w:r w:rsidRPr="00C74DE0">
        <w:rPr>
          <w:rFonts w:ascii="Times New Roman" w:hAnsi="Times New Roman" w:cs="Times New Roman"/>
          <w:szCs w:val="24"/>
        </w:rPr>
        <w:t xml:space="preserve">) is associated with the presence of </w:t>
      </w:r>
      <w:r w:rsidRPr="00C74DE0">
        <w:rPr>
          <w:rFonts w:ascii="Times New Roman" w:hAnsi="Times New Roman" w:cs="Times New Roman"/>
          <w:i/>
          <w:szCs w:val="24"/>
        </w:rPr>
        <w:t>pakśastya</w:t>
      </w:r>
      <w:r w:rsidRPr="00C74DE0">
        <w:rPr>
          <w:rFonts w:ascii="Times New Roman" w:hAnsi="Times New Roman" w:cs="Times New Roman"/>
          <w:szCs w:val="24"/>
        </w:rPr>
        <w:t xml:space="preserve">, </w:t>
      </w:r>
      <w:r w:rsidRPr="00C74DE0">
        <w:rPr>
          <w:rFonts w:ascii="Times New Roman" w:hAnsi="Times New Roman" w:cs="Times New Roman"/>
          <w:i/>
          <w:szCs w:val="24"/>
        </w:rPr>
        <w:t>sapaksasatya</w:t>
      </w:r>
      <w:r w:rsidRPr="00C74DE0">
        <w:rPr>
          <w:rFonts w:ascii="Times New Roman" w:hAnsi="Times New Roman" w:cs="Times New Roman"/>
          <w:szCs w:val="24"/>
        </w:rPr>
        <w:t xml:space="preserve">, </w:t>
      </w:r>
      <w:r w:rsidRPr="00C74DE0">
        <w:rPr>
          <w:rFonts w:ascii="Times New Roman" w:hAnsi="Times New Roman" w:cs="Times New Roman"/>
          <w:i/>
          <w:szCs w:val="24"/>
        </w:rPr>
        <w:t>bipaksāstya</w:t>
      </w:r>
      <w:r w:rsidRPr="00C74DE0">
        <w:rPr>
          <w:rFonts w:ascii="Times New Roman" w:hAnsi="Times New Roman" w:cs="Times New Roman"/>
          <w:szCs w:val="24"/>
        </w:rPr>
        <w:t xml:space="preserve">, </w:t>
      </w:r>
      <w:r w:rsidRPr="00C74DE0">
        <w:rPr>
          <w:rFonts w:ascii="Times New Roman" w:hAnsi="Times New Roman" w:cs="Times New Roman"/>
          <w:i/>
          <w:szCs w:val="24"/>
        </w:rPr>
        <w:t>asatpratipaksatya</w:t>
      </w:r>
      <w:r w:rsidR="00341426">
        <w:rPr>
          <w:rFonts w:ascii="Times New Roman" w:hAnsi="Times New Roman" w:cs="Times New Roman"/>
          <w:i/>
          <w:szCs w:val="24"/>
        </w:rPr>
        <w:t>,</w:t>
      </w:r>
      <w:r w:rsidRPr="00C74DE0">
        <w:rPr>
          <w:rFonts w:ascii="Times New Roman" w:hAnsi="Times New Roman" w:cs="Times New Roman"/>
          <w:szCs w:val="24"/>
        </w:rPr>
        <w:t xml:space="preserve"> and </w:t>
      </w:r>
      <w:r w:rsidRPr="00C74DE0">
        <w:rPr>
          <w:rFonts w:ascii="Times New Roman" w:hAnsi="Times New Roman" w:cs="Times New Roman"/>
          <w:i/>
          <w:szCs w:val="24"/>
        </w:rPr>
        <w:t>abādhitatya</w:t>
      </w:r>
      <w:r w:rsidRPr="00C74DE0">
        <w:rPr>
          <w:rFonts w:ascii="Times New Roman" w:hAnsi="Times New Roman" w:cs="Times New Roman"/>
          <w:szCs w:val="24"/>
        </w:rPr>
        <w:t xml:space="preserve">. If in reasoning there is </w:t>
      </w:r>
      <w:r w:rsidR="00341426">
        <w:rPr>
          <w:rFonts w:ascii="Times New Roman" w:hAnsi="Times New Roman" w:cs="Times New Roman"/>
          <w:szCs w:val="24"/>
        </w:rPr>
        <w:t xml:space="preserve">the </w:t>
      </w:r>
      <w:r w:rsidRPr="00C74DE0">
        <w:rPr>
          <w:rFonts w:ascii="Times New Roman" w:hAnsi="Times New Roman" w:cs="Times New Roman"/>
          <w:szCs w:val="24"/>
        </w:rPr>
        <w:t xml:space="preserve">absence of any of these characteristics, then it would be called </w:t>
      </w:r>
      <w:r w:rsidRPr="00C74DE0">
        <w:rPr>
          <w:rFonts w:ascii="Times New Roman" w:hAnsi="Times New Roman" w:cs="Times New Roman"/>
          <w:i/>
          <w:szCs w:val="24"/>
        </w:rPr>
        <w:t>hetvābhāsa</w:t>
      </w:r>
      <w:r w:rsidRPr="00C74DE0">
        <w:rPr>
          <w:rFonts w:ascii="Times New Roman" w:hAnsi="Times New Roman" w:cs="Times New Roman"/>
          <w:szCs w:val="24"/>
        </w:rPr>
        <w:t xml:space="preserve">. </w:t>
      </w:r>
      <w:r w:rsidRPr="00C74DE0">
        <w:rPr>
          <w:rFonts w:ascii="Times New Roman" w:hAnsi="Times New Roman" w:cs="Times New Roman"/>
          <w:i/>
          <w:szCs w:val="24"/>
        </w:rPr>
        <w:t>Hetvābhāsa</w:t>
      </w:r>
      <w:r w:rsidRPr="00C74DE0">
        <w:rPr>
          <w:rFonts w:ascii="Times New Roman" w:hAnsi="Times New Roman" w:cs="Times New Roman"/>
          <w:szCs w:val="24"/>
        </w:rPr>
        <w:t xml:space="preserve"> (fallacy) or invalid reasoning occurs only when certain conditions of reasoning are violated. It </w:t>
      </w:r>
      <w:r w:rsidR="00341426">
        <w:rPr>
          <w:rFonts w:ascii="Times New Roman" w:hAnsi="Times New Roman" w:cs="Times New Roman"/>
          <w:szCs w:val="24"/>
        </w:rPr>
        <w:t>is</w:t>
      </w:r>
      <w:r w:rsidRPr="00C74DE0">
        <w:rPr>
          <w:rFonts w:ascii="Times New Roman" w:hAnsi="Times New Roman" w:cs="Times New Roman"/>
          <w:szCs w:val="24"/>
        </w:rPr>
        <w:t xml:space="preserve"> </w:t>
      </w:r>
      <w:r w:rsidR="00341426">
        <w:rPr>
          <w:rFonts w:ascii="Times New Roman" w:hAnsi="Times New Roman" w:cs="Times New Roman"/>
          <w:szCs w:val="24"/>
        </w:rPr>
        <w:t>mentioned</w:t>
      </w:r>
      <w:r w:rsidRPr="00C74DE0">
        <w:rPr>
          <w:rFonts w:ascii="Times New Roman" w:hAnsi="Times New Roman" w:cs="Times New Roman"/>
          <w:szCs w:val="24"/>
        </w:rPr>
        <w:t xml:space="preserve"> in the </w:t>
      </w:r>
      <w:r w:rsidRPr="00C74DE0">
        <w:rPr>
          <w:rFonts w:ascii="Times New Roman" w:hAnsi="Times New Roman" w:cs="Times New Roman"/>
          <w:iCs/>
          <w:szCs w:val="24"/>
        </w:rPr>
        <w:t>Nyāya</w:t>
      </w:r>
      <w:r w:rsidRPr="00C74DE0">
        <w:rPr>
          <w:rFonts w:ascii="Times New Roman" w:hAnsi="Times New Roman" w:cs="Times New Roman"/>
          <w:szCs w:val="24"/>
        </w:rPr>
        <w:t xml:space="preserve"> philosophy that an inference (</w:t>
      </w:r>
      <w:r w:rsidRPr="00C74DE0">
        <w:rPr>
          <w:rFonts w:ascii="Times New Roman" w:hAnsi="Times New Roman" w:cs="Times New Roman"/>
          <w:i/>
          <w:szCs w:val="24"/>
        </w:rPr>
        <w:t>anumāna</w:t>
      </w:r>
      <w:r w:rsidRPr="00C74DE0">
        <w:rPr>
          <w:rFonts w:ascii="Times New Roman" w:hAnsi="Times New Roman" w:cs="Times New Roman"/>
          <w:szCs w:val="24"/>
        </w:rPr>
        <w:t xml:space="preserve">) becomes fallacious when </w:t>
      </w:r>
      <w:r w:rsidR="00341426">
        <w:rPr>
          <w:rFonts w:ascii="Times New Roman" w:hAnsi="Times New Roman" w:cs="Times New Roman"/>
          <w:szCs w:val="24"/>
        </w:rPr>
        <w:t xml:space="preserve">a </w:t>
      </w:r>
      <w:r w:rsidRPr="00C74DE0">
        <w:rPr>
          <w:rFonts w:ascii="Times New Roman" w:hAnsi="Times New Roman" w:cs="Times New Roman"/>
          <w:szCs w:val="24"/>
        </w:rPr>
        <w:t xml:space="preserve">certain material condition is violated. According to Gautama, there are five fallacies of reason, namely, </w:t>
      </w:r>
      <w:r w:rsidRPr="00C74DE0">
        <w:rPr>
          <w:rFonts w:ascii="Times New Roman" w:hAnsi="Times New Roman" w:cs="Times New Roman"/>
          <w:i/>
          <w:szCs w:val="24"/>
        </w:rPr>
        <w:t>savyabhicāra</w:t>
      </w:r>
      <w:r w:rsidRPr="00C74DE0">
        <w:rPr>
          <w:rFonts w:ascii="Times New Roman" w:hAnsi="Times New Roman" w:cs="Times New Roman"/>
          <w:szCs w:val="24"/>
        </w:rPr>
        <w:t xml:space="preserve">, </w:t>
      </w:r>
      <w:r w:rsidRPr="00C74DE0">
        <w:rPr>
          <w:rFonts w:ascii="Times New Roman" w:hAnsi="Times New Roman" w:cs="Times New Roman"/>
          <w:i/>
          <w:szCs w:val="24"/>
        </w:rPr>
        <w:t>viruddha</w:t>
      </w:r>
      <w:r w:rsidRPr="00C74DE0">
        <w:rPr>
          <w:rFonts w:ascii="Times New Roman" w:hAnsi="Times New Roman" w:cs="Times New Roman"/>
          <w:szCs w:val="24"/>
        </w:rPr>
        <w:t xml:space="preserve">, </w:t>
      </w:r>
      <w:r w:rsidRPr="00C74DE0">
        <w:rPr>
          <w:rFonts w:ascii="Times New Roman" w:hAnsi="Times New Roman" w:cs="Times New Roman"/>
          <w:i/>
          <w:szCs w:val="24"/>
        </w:rPr>
        <w:lastRenderedPageBreak/>
        <w:t>prakaransama</w:t>
      </w:r>
      <w:r w:rsidRPr="00C74DE0">
        <w:rPr>
          <w:rFonts w:ascii="Times New Roman" w:hAnsi="Times New Roman" w:cs="Times New Roman"/>
          <w:szCs w:val="24"/>
        </w:rPr>
        <w:t xml:space="preserve"> (</w:t>
      </w:r>
      <w:r w:rsidRPr="00C74DE0">
        <w:rPr>
          <w:rFonts w:ascii="Times New Roman" w:hAnsi="Times New Roman" w:cs="Times New Roman"/>
          <w:i/>
          <w:szCs w:val="24"/>
        </w:rPr>
        <w:t>satpratipakṣa</w:t>
      </w:r>
      <w:r w:rsidRPr="00C74DE0">
        <w:rPr>
          <w:rFonts w:ascii="Times New Roman" w:hAnsi="Times New Roman" w:cs="Times New Roman"/>
          <w:szCs w:val="24"/>
        </w:rPr>
        <w:t xml:space="preserve">), </w:t>
      </w:r>
      <w:r w:rsidRPr="00C74DE0">
        <w:rPr>
          <w:rFonts w:ascii="Times New Roman" w:hAnsi="Times New Roman" w:cs="Times New Roman"/>
          <w:i/>
          <w:szCs w:val="24"/>
        </w:rPr>
        <w:t xml:space="preserve">sādhyasama </w:t>
      </w:r>
      <w:r w:rsidRPr="00C74DE0">
        <w:rPr>
          <w:rFonts w:ascii="Times New Roman" w:hAnsi="Times New Roman" w:cs="Times New Roman"/>
          <w:szCs w:val="24"/>
        </w:rPr>
        <w:t>(</w:t>
      </w:r>
      <w:r w:rsidRPr="00C74DE0">
        <w:rPr>
          <w:rFonts w:ascii="Times New Roman" w:hAnsi="Times New Roman" w:cs="Times New Roman"/>
          <w:i/>
          <w:szCs w:val="24"/>
        </w:rPr>
        <w:t>asiddha</w:t>
      </w:r>
      <w:r w:rsidRPr="00C74DE0">
        <w:rPr>
          <w:rFonts w:ascii="Times New Roman" w:hAnsi="Times New Roman" w:cs="Times New Roman"/>
          <w:szCs w:val="24"/>
        </w:rPr>
        <w:t>)</w:t>
      </w:r>
      <w:r w:rsidR="00341426">
        <w:rPr>
          <w:rFonts w:ascii="Times New Roman" w:hAnsi="Times New Roman" w:cs="Times New Roman"/>
          <w:szCs w:val="24"/>
        </w:rPr>
        <w:t>,</w:t>
      </w:r>
      <w:r w:rsidRPr="00C74DE0">
        <w:rPr>
          <w:rFonts w:ascii="Times New Roman" w:hAnsi="Times New Roman" w:cs="Times New Roman"/>
          <w:szCs w:val="24"/>
        </w:rPr>
        <w:t xml:space="preserve"> and </w:t>
      </w:r>
      <w:r w:rsidRPr="00C74DE0">
        <w:rPr>
          <w:rFonts w:ascii="Times New Roman" w:hAnsi="Times New Roman" w:cs="Times New Roman"/>
          <w:i/>
          <w:szCs w:val="24"/>
        </w:rPr>
        <w:t>kālātita</w:t>
      </w:r>
      <w:r w:rsidRPr="00C74DE0">
        <w:rPr>
          <w:rFonts w:ascii="Times New Roman" w:hAnsi="Times New Roman" w:cs="Times New Roman"/>
          <w:szCs w:val="24"/>
        </w:rPr>
        <w:t xml:space="preserve"> (</w:t>
      </w:r>
      <w:r w:rsidRPr="00C74DE0">
        <w:rPr>
          <w:rFonts w:ascii="Times New Roman" w:hAnsi="Times New Roman" w:cs="Times New Roman"/>
          <w:i/>
          <w:szCs w:val="24"/>
        </w:rPr>
        <w:t>bādhita</w:t>
      </w:r>
      <w:r w:rsidRPr="00C74DE0">
        <w:rPr>
          <w:rFonts w:ascii="Times New Roman" w:hAnsi="Times New Roman" w:cs="Times New Roman"/>
          <w:szCs w:val="24"/>
        </w:rPr>
        <w:t xml:space="preserve">). If in reasoning there is the absence of </w:t>
      </w:r>
      <w:r w:rsidRPr="00C74DE0">
        <w:rPr>
          <w:rFonts w:ascii="Times New Roman" w:hAnsi="Times New Roman" w:cs="Times New Roman"/>
          <w:i/>
          <w:szCs w:val="24"/>
        </w:rPr>
        <w:t>bipaksāstya</w:t>
      </w:r>
      <w:r w:rsidRPr="00C74DE0">
        <w:rPr>
          <w:rFonts w:ascii="Times New Roman" w:hAnsi="Times New Roman" w:cs="Times New Roman"/>
          <w:szCs w:val="24"/>
        </w:rPr>
        <w:t xml:space="preserve">, there would occur </w:t>
      </w:r>
      <w:r w:rsidRPr="00C74DE0">
        <w:rPr>
          <w:rFonts w:ascii="Times New Roman" w:hAnsi="Times New Roman" w:cs="Times New Roman"/>
          <w:i/>
          <w:szCs w:val="24"/>
        </w:rPr>
        <w:t>vyabhicara dosa</w:t>
      </w:r>
      <w:r w:rsidR="00341426">
        <w:rPr>
          <w:rFonts w:ascii="Times New Roman" w:hAnsi="Times New Roman" w:cs="Times New Roman"/>
          <w:i/>
          <w:szCs w:val="24"/>
        </w:rPr>
        <w:t>,</w:t>
      </w:r>
      <w:r w:rsidRPr="00C74DE0">
        <w:rPr>
          <w:rFonts w:ascii="Times New Roman" w:hAnsi="Times New Roman" w:cs="Times New Roman"/>
          <w:i/>
          <w:szCs w:val="24"/>
        </w:rPr>
        <w:t xml:space="preserve"> </w:t>
      </w:r>
      <w:r w:rsidRPr="00C74DE0">
        <w:rPr>
          <w:rFonts w:ascii="Times New Roman" w:hAnsi="Times New Roman" w:cs="Times New Roman"/>
          <w:szCs w:val="24"/>
        </w:rPr>
        <w:t xml:space="preserve">and this fallacy is called </w:t>
      </w:r>
      <w:r w:rsidRPr="00C74DE0">
        <w:rPr>
          <w:rFonts w:ascii="Times New Roman" w:hAnsi="Times New Roman" w:cs="Times New Roman"/>
          <w:i/>
          <w:szCs w:val="24"/>
        </w:rPr>
        <w:t xml:space="preserve">savyabhicāra. </w:t>
      </w:r>
      <w:r w:rsidRPr="00C74DE0">
        <w:rPr>
          <w:rFonts w:ascii="Times New Roman" w:hAnsi="Times New Roman" w:cs="Times New Roman"/>
          <w:szCs w:val="24"/>
        </w:rPr>
        <w:t xml:space="preserve">If there is the absence of </w:t>
      </w:r>
      <w:r w:rsidRPr="00C74DE0">
        <w:rPr>
          <w:rFonts w:ascii="Times New Roman" w:hAnsi="Times New Roman" w:cs="Times New Roman"/>
          <w:i/>
          <w:szCs w:val="24"/>
        </w:rPr>
        <w:t>sapaksasatya</w:t>
      </w:r>
      <w:r w:rsidRPr="00C74DE0">
        <w:rPr>
          <w:rFonts w:ascii="Times New Roman" w:hAnsi="Times New Roman" w:cs="Times New Roman"/>
          <w:szCs w:val="24"/>
        </w:rPr>
        <w:t xml:space="preserve">, there would occur </w:t>
      </w:r>
      <w:r w:rsidRPr="00C74DE0">
        <w:rPr>
          <w:rFonts w:ascii="Times New Roman" w:hAnsi="Times New Roman" w:cs="Times New Roman"/>
          <w:i/>
          <w:szCs w:val="24"/>
        </w:rPr>
        <w:t>virodh dosa</w:t>
      </w:r>
      <w:r w:rsidR="00341426">
        <w:rPr>
          <w:rFonts w:ascii="Times New Roman" w:hAnsi="Times New Roman" w:cs="Times New Roman"/>
          <w:i/>
          <w:szCs w:val="24"/>
        </w:rPr>
        <w:t>,</w:t>
      </w:r>
      <w:r w:rsidRPr="00C74DE0">
        <w:rPr>
          <w:rFonts w:ascii="Times New Roman" w:hAnsi="Times New Roman" w:cs="Times New Roman"/>
          <w:szCs w:val="24"/>
        </w:rPr>
        <w:t xml:space="preserve"> and the fallacy is called </w:t>
      </w:r>
      <w:r w:rsidRPr="00C74DE0">
        <w:rPr>
          <w:rFonts w:ascii="Times New Roman" w:hAnsi="Times New Roman" w:cs="Times New Roman"/>
          <w:i/>
          <w:szCs w:val="24"/>
        </w:rPr>
        <w:t>viruddha</w:t>
      </w:r>
      <w:r w:rsidRPr="00C74DE0">
        <w:rPr>
          <w:rFonts w:ascii="Times New Roman" w:hAnsi="Times New Roman" w:cs="Times New Roman"/>
          <w:szCs w:val="24"/>
        </w:rPr>
        <w:t xml:space="preserve">. If in reasoning there is the absence of </w:t>
      </w:r>
      <w:r w:rsidRPr="00C74DE0">
        <w:rPr>
          <w:rFonts w:ascii="Times New Roman" w:hAnsi="Times New Roman" w:cs="Times New Roman"/>
          <w:i/>
          <w:szCs w:val="24"/>
        </w:rPr>
        <w:t>pakṣastya</w:t>
      </w:r>
      <w:r w:rsidRPr="00C74DE0">
        <w:rPr>
          <w:rFonts w:ascii="Times New Roman" w:hAnsi="Times New Roman" w:cs="Times New Roman"/>
          <w:szCs w:val="24"/>
        </w:rPr>
        <w:t xml:space="preserve">, there would occur </w:t>
      </w:r>
      <w:r w:rsidRPr="00C74DE0">
        <w:rPr>
          <w:rFonts w:ascii="Times New Roman" w:hAnsi="Times New Roman" w:cs="Times New Roman"/>
          <w:i/>
          <w:szCs w:val="24"/>
        </w:rPr>
        <w:t>asiddhi dosa</w:t>
      </w:r>
      <w:r w:rsidR="00341426">
        <w:rPr>
          <w:rFonts w:ascii="Times New Roman" w:hAnsi="Times New Roman" w:cs="Times New Roman"/>
          <w:i/>
          <w:szCs w:val="24"/>
        </w:rPr>
        <w:t>,</w:t>
      </w:r>
      <w:r w:rsidRPr="00C74DE0">
        <w:rPr>
          <w:rFonts w:ascii="Times New Roman" w:hAnsi="Times New Roman" w:cs="Times New Roman"/>
          <w:szCs w:val="24"/>
        </w:rPr>
        <w:t xml:space="preserve"> and the fallacy is called </w:t>
      </w:r>
      <w:r w:rsidRPr="00C74DE0">
        <w:rPr>
          <w:rFonts w:ascii="Times New Roman" w:hAnsi="Times New Roman" w:cs="Times New Roman"/>
          <w:i/>
          <w:szCs w:val="24"/>
        </w:rPr>
        <w:t xml:space="preserve">sādhyasama </w:t>
      </w:r>
      <w:r w:rsidRPr="00C74DE0">
        <w:rPr>
          <w:rFonts w:ascii="Times New Roman" w:hAnsi="Times New Roman" w:cs="Times New Roman"/>
          <w:szCs w:val="24"/>
        </w:rPr>
        <w:t>(</w:t>
      </w:r>
      <w:r w:rsidRPr="00C74DE0">
        <w:rPr>
          <w:rFonts w:ascii="Times New Roman" w:hAnsi="Times New Roman" w:cs="Times New Roman"/>
          <w:i/>
          <w:szCs w:val="24"/>
        </w:rPr>
        <w:t>asiddha</w:t>
      </w:r>
      <w:r w:rsidRPr="00C74DE0">
        <w:rPr>
          <w:rFonts w:ascii="Times New Roman" w:hAnsi="Times New Roman" w:cs="Times New Roman"/>
          <w:szCs w:val="24"/>
        </w:rPr>
        <w:t xml:space="preserve">). On the other hand, if there is the absence of </w:t>
      </w:r>
      <w:r w:rsidRPr="00C74DE0">
        <w:rPr>
          <w:rFonts w:ascii="Times New Roman" w:hAnsi="Times New Roman" w:cs="Times New Roman"/>
          <w:i/>
          <w:szCs w:val="24"/>
        </w:rPr>
        <w:t xml:space="preserve">asatpratipaksatya, </w:t>
      </w:r>
      <w:r w:rsidRPr="00C74DE0">
        <w:rPr>
          <w:rFonts w:ascii="Times New Roman" w:hAnsi="Times New Roman" w:cs="Times New Roman"/>
          <w:szCs w:val="24"/>
        </w:rPr>
        <w:t xml:space="preserve">there would occur </w:t>
      </w:r>
      <w:r w:rsidRPr="00C74DE0">
        <w:rPr>
          <w:rFonts w:ascii="Times New Roman" w:hAnsi="Times New Roman" w:cs="Times New Roman"/>
          <w:i/>
          <w:szCs w:val="24"/>
        </w:rPr>
        <w:t>pratipaksatya doṣa</w:t>
      </w:r>
      <w:r w:rsidR="00341426">
        <w:rPr>
          <w:rFonts w:ascii="Times New Roman" w:hAnsi="Times New Roman" w:cs="Times New Roman"/>
          <w:i/>
          <w:szCs w:val="24"/>
        </w:rPr>
        <w:t>,</w:t>
      </w:r>
      <w:r w:rsidRPr="00C74DE0">
        <w:rPr>
          <w:rFonts w:ascii="Times New Roman" w:hAnsi="Times New Roman" w:cs="Times New Roman"/>
          <w:szCs w:val="24"/>
        </w:rPr>
        <w:t xml:space="preserve"> and the fallacy is called </w:t>
      </w:r>
      <w:r w:rsidRPr="00C74DE0">
        <w:rPr>
          <w:rFonts w:ascii="Times New Roman" w:hAnsi="Times New Roman" w:cs="Times New Roman"/>
          <w:i/>
          <w:szCs w:val="24"/>
        </w:rPr>
        <w:t>prakaransama</w:t>
      </w:r>
      <w:r w:rsidRPr="00C74DE0">
        <w:rPr>
          <w:rFonts w:ascii="Times New Roman" w:hAnsi="Times New Roman" w:cs="Times New Roman"/>
          <w:szCs w:val="24"/>
        </w:rPr>
        <w:t xml:space="preserve"> (</w:t>
      </w:r>
      <w:r w:rsidRPr="00C74DE0">
        <w:rPr>
          <w:rFonts w:ascii="Times New Roman" w:hAnsi="Times New Roman" w:cs="Times New Roman"/>
          <w:i/>
          <w:szCs w:val="24"/>
        </w:rPr>
        <w:t>satpratipaksa</w:t>
      </w:r>
      <w:r w:rsidRPr="00C74DE0">
        <w:rPr>
          <w:rFonts w:ascii="Times New Roman" w:hAnsi="Times New Roman" w:cs="Times New Roman"/>
          <w:szCs w:val="24"/>
        </w:rPr>
        <w:t xml:space="preserve">). If there is the absence of </w:t>
      </w:r>
      <w:r w:rsidRPr="00C74DE0">
        <w:rPr>
          <w:rFonts w:ascii="Times New Roman" w:hAnsi="Times New Roman" w:cs="Times New Roman"/>
          <w:i/>
          <w:szCs w:val="24"/>
        </w:rPr>
        <w:t xml:space="preserve">abādhitatya </w:t>
      </w:r>
      <w:r w:rsidRPr="00C74DE0">
        <w:rPr>
          <w:rFonts w:ascii="Times New Roman" w:hAnsi="Times New Roman" w:cs="Times New Roman"/>
          <w:szCs w:val="24"/>
        </w:rPr>
        <w:t xml:space="preserve">characteristics in reasoning, there will occur </w:t>
      </w:r>
      <w:r w:rsidRPr="00C74DE0">
        <w:rPr>
          <w:rFonts w:ascii="Times New Roman" w:hAnsi="Times New Roman" w:cs="Times New Roman"/>
          <w:i/>
          <w:szCs w:val="24"/>
        </w:rPr>
        <w:t>badha dos̩a</w:t>
      </w:r>
      <w:r w:rsidR="00341426">
        <w:rPr>
          <w:rFonts w:ascii="Times New Roman" w:hAnsi="Times New Roman" w:cs="Times New Roman"/>
          <w:i/>
          <w:szCs w:val="24"/>
        </w:rPr>
        <w:t>,</w:t>
      </w:r>
      <w:r w:rsidRPr="00C74DE0">
        <w:rPr>
          <w:rFonts w:ascii="Times New Roman" w:hAnsi="Times New Roman" w:cs="Times New Roman"/>
          <w:i/>
          <w:szCs w:val="24"/>
        </w:rPr>
        <w:t xml:space="preserve"> </w:t>
      </w:r>
      <w:r w:rsidRPr="00C74DE0">
        <w:rPr>
          <w:rFonts w:ascii="Times New Roman" w:hAnsi="Times New Roman" w:cs="Times New Roman"/>
          <w:szCs w:val="24"/>
        </w:rPr>
        <w:t xml:space="preserve">and the fallacy is called </w:t>
      </w:r>
      <w:r w:rsidRPr="00C74DE0">
        <w:rPr>
          <w:rFonts w:ascii="Times New Roman" w:hAnsi="Times New Roman" w:cs="Times New Roman"/>
          <w:i/>
          <w:szCs w:val="24"/>
        </w:rPr>
        <w:t>kālātita</w:t>
      </w:r>
      <w:r w:rsidRPr="00C74DE0">
        <w:rPr>
          <w:rFonts w:ascii="Times New Roman" w:hAnsi="Times New Roman" w:cs="Times New Roman"/>
          <w:szCs w:val="24"/>
        </w:rPr>
        <w:t xml:space="preserve"> (</w:t>
      </w:r>
      <w:r w:rsidRPr="00C74DE0">
        <w:rPr>
          <w:rFonts w:ascii="Times New Roman" w:hAnsi="Times New Roman" w:cs="Times New Roman"/>
          <w:i/>
          <w:szCs w:val="24"/>
        </w:rPr>
        <w:t>bādhita</w:t>
      </w:r>
      <w:r w:rsidRPr="00C74DE0">
        <w:rPr>
          <w:rFonts w:ascii="Times New Roman" w:hAnsi="Times New Roman" w:cs="Times New Roman"/>
          <w:szCs w:val="24"/>
        </w:rPr>
        <w:t>).</w:t>
      </w:r>
    </w:p>
    <w:p w14:paraId="7B3F0325" w14:textId="77777777"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b/>
          <w:i/>
          <w:szCs w:val="24"/>
        </w:rPr>
        <w:t xml:space="preserve">Chala, Jāti, </w:t>
      </w:r>
      <w:r w:rsidRPr="00C74DE0">
        <w:rPr>
          <w:rFonts w:ascii="Times New Roman" w:hAnsi="Times New Roman" w:cs="Times New Roman"/>
          <w:b/>
          <w:iCs/>
          <w:szCs w:val="24"/>
        </w:rPr>
        <w:t>and</w:t>
      </w:r>
      <w:r w:rsidRPr="00C74DE0">
        <w:rPr>
          <w:rFonts w:ascii="Times New Roman" w:hAnsi="Times New Roman" w:cs="Times New Roman"/>
          <w:b/>
          <w:i/>
          <w:szCs w:val="24"/>
        </w:rPr>
        <w:t xml:space="preserve"> Nigrahasth</w:t>
      </w:r>
      <w:r w:rsidRPr="00C74DE0">
        <w:rPr>
          <w:rFonts w:ascii="Times New Roman" w:hAnsi="Times New Roman" w:cs="Times New Roman"/>
          <w:b/>
          <w:bCs/>
          <w:i/>
          <w:szCs w:val="24"/>
        </w:rPr>
        <w:t>ā</w:t>
      </w:r>
      <w:r w:rsidRPr="00C74DE0">
        <w:rPr>
          <w:rFonts w:ascii="Times New Roman" w:hAnsi="Times New Roman" w:cs="Times New Roman"/>
          <w:b/>
          <w:i/>
          <w:szCs w:val="24"/>
        </w:rPr>
        <w:t>na</w:t>
      </w:r>
    </w:p>
    <w:p w14:paraId="3B689A41" w14:textId="4C334879"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b/>
          <w:bCs/>
          <w:i/>
          <w:iCs/>
          <w:szCs w:val="24"/>
        </w:rPr>
        <w:t>Chala</w:t>
      </w:r>
      <w:r w:rsidRPr="00C74DE0">
        <w:rPr>
          <w:rFonts w:ascii="Times New Roman" w:hAnsi="Times New Roman" w:cs="Times New Roman"/>
          <w:szCs w:val="24"/>
        </w:rPr>
        <w:t xml:space="preserve"> (purposive distortion of the opponent's statement) occurs when one deliberately misinterprets or distorts an opponent’s response to derive a meaning different from what was originally intended. For example, when somebody says a word like ‘</w:t>
      </w:r>
      <w:r w:rsidRPr="00C74DE0">
        <w:rPr>
          <w:rFonts w:ascii="Times New Roman" w:hAnsi="Times New Roman" w:cs="Times New Roman"/>
          <w:i/>
          <w:szCs w:val="24"/>
        </w:rPr>
        <w:t>navakambala</w:t>
      </w:r>
      <w:r w:rsidRPr="00C74DE0">
        <w:rPr>
          <w:rFonts w:ascii="Times New Roman" w:hAnsi="Times New Roman" w:cs="Times New Roman"/>
          <w:szCs w:val="24"/>
        </w:rPr>
        <w:t xml:space="preserve">’, one can react in two ways: (1) he has a new blanket or shawl, or (2) he has nine blankets. Therefore, when somebody reacts after hearing the word </w:t>
      </w:r>
      <w:r w:rsidRPr="00C74DE0">
        <w:rPr>
          <w:rFonts w:ascii="Times New Roman" w:hAnsi="Times New Roman" w:cs="Times New Roman"/>
          <w:i/>
          <w:szCs w:val="24"/>
        </w:rPr>
        <w:t xml:space="preserve">navakambala </w:t>
      </w:r>
      <w:r w:rsidRPr="00C74DE0">
        <w:rPr>
          <w:rFonts w:ascii="Times New Roman" w:hAnsi="Times New Roman" w:cs="Times New Roman"/>
          <w:szCs w:val="24"/>
        </w:rPr>
        <w:t xml:space="preserve">as ‘he has nine blankets’, it can be said that the person has used </w:t>
      </w:r>
      <w:r w:rsidRPr="00C74DE0">
        <w:rPr>
          <w:rFonts w:ascii="Times New Roman" w:hAnsi="Times New Roman" w:cs="Times New Roman"/>
          <w:i/>
          <w:szCs w:val="24"/>
        </w:rPr>
        <w:t>chala</w:t>
      </w:r>
      <w:r w:rsidRPr="00C74DE0">
        <w:rPr>
          <w:rFonts w:ascii="Times New Roman" w:hAnsi="Times New Roman" w:cs="Times New Roman"/>
          <w:iCs/>
          <w:szCs w:val="24"/>
        </w:rPr>
        <w:t xml:space="preserve"> to answer the same because the actual meaning of </w:t>
      </w:r>
      <w:r w:rsidRPr="00C74DE0">
        <w:rPr>
          <w:rFonts w:ascii="Times New Roman" w:hAnsi="Times New Roman" w:cs="Times New Roman"/>
          <w:i/>
          <w:szCs w:val="24"/>
        </w:rPr>
        <w:t>navakambala</w:t>
      </w:r>
      <w:r w:rsidRPr="00C74DE0">
        <w:rPr>
          <w:rFonts w:ascii="Times New Roman" w:hAnsi="Times New Roman" w:cs="Times New Roman"/>
          <w:iCs/>
          <w:szCs w:val="24"/>
        </w:rPr>
        <w:t xml:space="preserve"> is associated with a</w:t>
      </w:r>
      <w:r w:rsidRPr="00C74DE0">
        <w:rPr>
          <w:rFonts w:ascii="Times New Roman" w:hAnsi="Times New Roman" w:cs="Times New Roman"/>
          <w:i/>
          <w:szCs w:val="24"/>
        </w:rPr>
        <w:t xml:space="preserve"> </w:t>
      </w:r>
      <w:r w:rsidRPr="00C74DE0">
        <w:rPr>
          <w:rFonts w:ascii="Times New Roman" w:hAnsi="Times New Roman" w:cs="Times New Roman"/>
          <w:szCs w:val="24"/>
        </w:rPr>
        <w:t xml:space="preserve">new blanket or shawl. In this process, </w:t>
      </w:r>
      <w:r w:rsidRPr="00C74DE0">
        <w:rPr>
          <w:rFonts w:ascii="Times New Roman" w:hAnsi="Times New Roman" w:cs="Times New Roman"/>
          <w:i/>
          <w:szCs w:val="24"/>
        </w:rPr>
        <w:t xml:space="preserve">chala </w:t>
      </w:r>
      <w:r w:rsidRPr="00C74DE0">
        <w:rPr>
          <w:rFonts w:ascii="Times New Roman" w:hAnsi="Times New Roman" w:cs="Times New Roman"/>
          <w:szCs w:val="24"/>
        </w:rPr>
        <w:t xml:space="preserve">is used to answer somebody’s question in an expected way or otherwise. However, one cannot deny </w:t>
      </w:r>
      <w:r w:rsidR="00341426">
        <w:rPr>
          <w:rFonts w:ascii="Times New Roman" w:hAnsi="Times New Roman" w:cs="Times New Roman"/>
          <w:szCs w:val="24"/>
        </w:rPr>
        <w:t xml:space="preserve">that </w:t>
      </w:r>
      <w:r w:rsidRPr="00C74DE0">
        <w:rPr>
          <w:rFonts w:ascii="Times New Roman" w:hAnsi="Times New Roman" w:cs="Times New Roman"/>
          <w:szCs w:val="24"/>
        </w:rPr>
        <w:t>there is no space to reply differently. To look into the difference between the two, we have to go through the analogue (</w:t>
      </w:r>
      <w:r w:rsidRPr="00C74DE0">
        <w:rPr>
          <w:rFonts w:ascii="Times New Roman" w:hAnsi="Times New Roman" w:cs="Times New Roman"/>
          <w:i/>
          <w:iCs/>
          <w:szCs w:val="24"/>
        </w:rPr>
        <w:t>jāti</w:t>
      </w:r>
      <w:r w:rsidRPr="00C74DE0">
        <w:rPr>
          <w:rFonts w:ascii="Times New Roman" w:hAnsi="Times New Roman" w:cs="Times New Roman"/>
          <w:szCs w:val="24"/>
        </w:rPr>
        <w:t xml:space="preserve">) process, which we shall discuss in the next section.  </w:t>
      </w:r>
    </w:p>
    <w:p w14:paraId="36F2742C" w14:textId="0B6B9E3F"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b/>
          <w:i/>
          <w:szCs w:val="24"/>
        </w:rPr>
        <w:t>Jāti</w:t>
      </w:r>
      <w:r w:rsidRPr="00C74DE0">
        <w:rPr>
          <w:rFonts w:ascii="Times New Roman" w:hAnsi="Times New Roman" w:cs="Times New Roman"/>
          <w:szCs w:val="24"/>
        </w:rPr>
        <w:t xml:space="preserve"> (analogue) is technical terminology in </w:t>
      </w:r>
      <w:r w:rsidRPr="00C74DE0">
        <w:rPr>
          <w:rFonts w:ascii="Times New Roman" w:hAnsi="Times New Roman" w:cs="Times New Roman"/>
          <w:iCs/>
          <w:szCs w:val="24"/>
        </w:rPr>
        <w:t>Nyāya</w:t>
      </w:r>
      <w:r w:rsidRPr="00C74DE0">
        <w:rPr>
          <w:rFonts w:ascii="Times New Roman" w:hAnsi="Times New Roman" w:cs="Times New Roman"/>
          <w:szCs w:val="24"/>
        </w:rPr>
        <w:t xml:space="preserve"> philosophy to deal with the similarity or dissimilarity with something. For example, if somebody says that sound is non-eternal because it is an effect like </w:t>
      </w:r>
      <w:r w:rsidRPr="00C74DE0">
        <w:rPr>
          <w:rFonts w:ascii="Times New Roman" w:hAnsi="Times New Roman" w:cs="Times New Roman"/>
          <w:i/>
          <w:szCs w:val="24"/>
        </w:rPr>
        <w:t xml:space="preserve">ghata, </w:t>
      </w:r>
      <w:r w:rsidRPr="00C74DE0">
        <w:rPr>
          <w:rFonts w:ascii="Times New Roman" w:hAnsi="Times New Roman" w:cs="Times New Roman"/>
          <w:szCs w:val="24"/>
        </w:rPr>
        <w:t>then one can also say that sound is eternal because it is immaterial, as the sky (</w:t>
      </w:r>
      <w:r w:rsidRPr="00C74DE0">
        <w:rPr>
          <w:rFonts w:ascii="Times New Roman" w:hAnsi="Times New Roman" w:cs="Times New Roman"/>
          <w:i/>
          <w:szCs w:val="24"/>
        </w:rPr>
        <w:t>ākasa</w:t>
      </w:r>
      <w:r w:rsidRPr="00C74DE0">
        <w:rPr>
          <w:rFonts w:ascii="Times New Roman" w:hAnsi="Times New Roman" w:cs="Times New Roman"/>
          <w:szCs w:val="24"/>
        </w:rPr>
        <w:t>). In this case, it would be an analogue or argument that does not function properly because there is no universal relation between immaterial and eternal (e.g.</w:t>
      </w:r>
      <w:r w:rsidR="00341426">
        <w:rPr>
          <w:rFonts w:ascii="Times New Roman" w:hAnsi="Times New Roman" w:cs="Times New Roman"/>
          <w:szCs w:val="24"/>
        </w:rPr>
        <w:t>,</w:t>
      </w:r>
      <w:r w:rsidRPr="00C74DE0">
        <w:rPr>
          <w:rFonts w:ascii="Times New Roman" w:hAnsi="Times New Roman" w:cs="Times New Roman"/>
          <w:szCs w:val="24"/>
        </w:rPr>
        <w:t xml:space="preserve"> happiness and suffering are immaterial but non-eternal). However, to avoid some views, it is necessary to produce </w:t>
      </w:r>
      <w:r w:rsidR="00341426">
        <w:rPr>
          <w:rFonts w:ascii="Times New Roman" w:hAnsi="Times New Roman" w:cs="Times New Roman"/>
          <w:szCs w:val="24"/>
        </w:rPr>
        <w:t xml:space="preserve">a </w:t>
      </w:r>
      <w:r w:rsidRPr="00C74DE0">
        <w:rPr>
          <w:rFonts w:ascii="Times New Roman" w:hAnsi="Times New Roman" w:cs="Times New Roman"/>
          <w:szCs w:val="24"/>
        </w:rPr>
        <w:t xml:space="preserve">certain reason </w:t>
      </w:r>
      <w:r w:rsidR="00341426">
        <w:rPr>
          <w:rFonts w:ascii="Times New Roman" w:hAnsi="Times New Roman" w:cs="Times New Roman"/>
          <w:szCs w:val="24"/>
        </w:rPr>
        <w:t>that</w:t>
      </w:r>
      <w:r w:rsidRPr="00C74DE0">
        <w:rPr>
          <w:rFonts w:ascii="Times New Roman" w:hAnsi="Times New Roman" w:cs="Times New Roman"/>
          <w:szCs w:val="24"/>
        </w:rPr>
        <w:t xml:space="preserve"> reflects the view that is accepted as a reasonable argument.</w:t>
      </w:r>
    </w:p>
    <w:p w14:paraId="084FABBC" w14:textId="5E347CCD" w:rsidR="00341426" w:rsidRDefault="00C74DE0" w:rsidP="00C74DE0">
      <w:pPr>
        <w:spacing w:after="0" w:line="360" w:lineRule="auto"/>
        <w:jc w:val="both"/>
        <w:rPr>
          <w:rFonts w:ascii="Times New Roman" w:eastAsia="Times New Roman" w:hAnsi="Times New Roman" w:cs="Times New Roman"/>
          <w:szCs w:val="24"/>
          <w:lang w:eastAsia="en-IN"/>
        </w:rPr>
      </w:pPr>
      <w:r w:rsidRPr="00C74DE0">
        <w:rPr>
          <w:rFonts w:ascii="Times New Roman" w:hAnsi="Times New Roman" w:cs="Times New Roman"/>
          <w:b/>
          <w:i/>
          <w:szCs w:val="24"/>
        </w:rPr>
        <w:t>Nigrahasth</w:t>
      </w:r>
      <w:r w:rsidRPr="00C74DE0">
        <w:rPr>
          <w:rFonts w:ascii="Times New Roman" w:hAnsi="Times New Roman" w:cs="Times New Roman"/>
          <w:b/>
          <w:bCs/>
          <w:i/>
          <w:szCs w:val="24"/>
        </w:rPr>
        <w:t>ā</w:t>
      </w:r>
      <w:r w:rsidRPr="00C74DE0">
        <w:rPr>
          <w:rFonts w:ascii="Times New Roman" w:hAnsi="Times New Roman" w:cs="Times New Roman"/>
          <w:b/>
          <w:i/>
          <w:szCs w:val="24"/>
        </w:rPr>
        <w:t>na</w:t>
      </w:r>
      <w:r w:rsidRPr="00C74DE0">
        <w:rPr>
          <w:rFonts w:ascii="Times New Roman" w:eastAsia="Times New Roman" w:hAnsi="Times New Roman" w:cs="Times New Roman"/>
          <w:szCs w:val="24"/>
          <w:lang w:eastAsia="en-IN"/>
        </w:rPr>
        <w:t xml:space="preserve"> (point of defeat) refers to the cause of losing in an argument. It may also occur due to a deficiency in comprehension. Therefore, if an individual dismisses the primary rationale of an argument and resorts to a flawed argument, one must concede </w:t>
      </w:r>
      <w:r w:rsidR="00341426">
        <w:rPr>
          <w:rFonts w:ascii="Times New Roman" w:eastAsia="Times New Roman" w:hAnsi="Times New Roman" w:cs="Times New Roman"/>
          <w:szCs w:val="24"/>
          <w:lang w:eastAsia="en-IN"/>
        </w:rPr>
        <w:t>t</w:t>
      </w:r>
    </w:p>
    <w:p w14:paraId="0E5F9D8B" w14:textId="1BC5A4CA" w:rsidR="00C74DE0" w:rsidRPr="00C74DE0" w:rsidRDefault="00341426" w:rsidP="00C74DE0">
      <w:pPr>
        <w:spacing w:after="0" w:line="360" w:lineRule="auto"/>
        <w:jc w:val="both"/>
        <w:rPr>
          <w:rFonts w:ascii="Times New Roman" w:eastAsia="Times New Roman" w:hAnsi="Times New Roman" w:cs="Times New Roman"/>
          <w:szCs w:val="24"/>
          <w:lang w:eastAsia="en-IN"/>
        </w:rPr>
      </w:pPr>
      <w:r>
        <w:rPr>
          <w:rFonts w:ascii="Times New Roman" w:eastAsia="Times New Roman" w:hAnsi="Times New Roman" w:cs="Times New Roman"/>
          <w:szCs w:val="24"/>
          <w:lang w:eastAsia="en-IN"/>
        </w:rPr>
        <w:lastRenderedPageBreak/>
        <w:t xml:space="preserve"> </w:t>
      </w:r>
      <w:r w:rsidR="00C74DE0" w:rsidRPr="00C74DE0">
        <w:rPr>
          <w:rFonts w:ascii="Times New Roman" w:eastAsia="Times New Roman" w:hAnsi="Times New Roman" w:cs="Times New Roman"/>
          <w:szCs w:val="24"/>
          <w:lang w:eastAsia="en-IN"/>
        </w:rPr>
        <w:t xml:space="preserve">loss. </w:t>
      </w:r>
      <w:r w:rsidR="00C74DE0" w:rsidRPr="00C74DE0">
        <w:rPr>
          <w:rFonts w:ascii="Times New Roman" w:hAnsi="Times New Roman" w:cs="Times New Roman"/>
          <w:szCs w:val="24"/>
        </w:rPr>
        <w:t xml:space="preserve">“It is also called clincher, an occasion for rebuking or a place for humiliation, when one misunderstands or does not understand at all” (Ibid., p. 66). For example, if a person argues in a way that betrays his ignorance and continues to show that he understands the matter, then there is no point in making a </w:t>
      </w:r>
      <w:r>
        <w:rPr>
          <w:rFonts w:ascii="Times New Roman" w:hAnsi="Times New Roman" w:cs="Times New Roman"/>
          <w:szCs w:val="24"/>
        </w:rPr>
        <w:t>counterargument</w:t>
      </w:r>
      <w:r w:rsidR="00C74DE0" w:rsidRPr="00C74DE0">
        <w:rPr>
          <w:rFonts w:ascii="Times New Roman" w:hAnsi="Times New Roman" w:cs="Times New Roman"/>
          <w:szCs w:val="24"/>
        </w:rPr>
        <w:t xml:space="preserve">. He is quiet, only to be argued against by him again, and there is nothing left for his opponent, who will eventually turn himself out </w:t>
      </w:r>
      <w:r>
        <w:rPr>
          <w:rFonts w:ascii="Times New Roman" w:hAnsi="Times New Roman" w:cs="Times New Roman"/>
          <w:szCs w:val="24"/>
        </w:rPr>
        <w:t>of</w:t>
      </w:r>
      <w:r w:rsidR="00C74DE0" w:rsidRPr="00C74DE0">
        <w:rPr>
          <w:rFonts w:ascii="Times New Roman" w:hAnsi="Times New Roman" w:cs="Times New Roman"/>
          <w:szCs w:val="24"/>
        </w:rPr>
        <w:t xml:space="preserve"> his company, rebuking him as a knave. Therefore, we can say that the opponent should quit the company of a person who argues in this way.</w:t>
      </w:r>
    </w:p>
    <w:p w14:paraId="052BA402" w14:textId="2C5F8E4C"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Now, one can ask a question of whether</w:t>
      </w:r>
      <w:r w:rsidR="00341426">
        <w:rPr>
          <w:rFonts w:ascii="Times New Roman" w:hAnsi="Times New Roman" w:cs="Times New Roman"/>
          <w:szCs w:val="24"/>
        </w:rPr>
        <w:t>,</w:t>
      </w:r>
      <w:r w:rsidRPr="00C74DE0">
        <w:rPr>
          <w:rFonts w:ascii="Times New Roman" w:hAnsi="Times New Roman" w:cs="Times New Roman"/>
          <w:szCs w:val="24"/>
        </w:rPr>
        <w:t xml:space="preserve"> after having the true knowledge of these sixteen categories</w:t>
      </w:r>
      <w:r w:rsidR="00341426">
        <w:rPr>
          <w:rFonts w:ascii="Times New Roman" w:hAnsi="Times New Roman" w:cs="Times New Roman"/>
          <w:szCs w:val="24"/>
        </w:rPr>
        <w:t>,</w:t>
      </w:r>
      <w:r w:rsidRPr="00C74DE0">
        <w:rPr>
          <w:rFonts w:ascii="Times New Roman" w:hAnsi="Times New Roman" w:cs="Times New Roman"/>
          <w:szCs w:val="24"/>
        </w:rPr>
        <w:t xml:space="preserve"> one can immediately get the </w:t>
      </w:r>
      <w:r w:rsidRPr="00C74DE0">
        <w:rPr>
          <w:rFonts w:ascii="Times New Roman" w:hAnsi="Times New Roman" w:cs="Times New Roman"/>
          <w:i/>
          <w:szCs w:val="24"/>
        </w:rPr>
        <w:t>summum bonum</w:t>
      </w:r>
      <w:r w:rsidRPr="00C74DE0">
        <w:rPr>
          <w:rFonts w:ascii="Times New Roman" w:hAnsi="Times New Roman" w:cs="Times New Roman"/>
          <w:szCs w:val="24"/>
        </w:rPr>
        <w:t xml:space="preserve">. Similar </w:t>
      </w:r>
      <w:r w:rsidR="00341426">
        <w:rPr>
          <w:rFonts w:ascii="Times New Roman" w:hAnsi="Times New Roman" w:cs="Times New Roman"/>
          <w:szCs w:val="24"/>
        </w:rPr>
        <w:t>questions</w:t>
      </w:r>
      <w:r w:rsidRPr="00C74DE0">
        <w:rPr>
          <w:rFonts w:ascii="Times New Roman" w:hAnsi="Times New Roman" w:cs="Times New Roman"/>
          <w:szCs w:val="24"/>
        </w:rPr>
        <w:t xml:space="preserve"> have been raised by Uddyotkara in his book </w:t>
      </w:r>
      <w:r w:rsidRPr="00C74DE0">
        <w:rPr>
          <w:rFonts w:ascii="Times New Roman" w:hAnsi="Times New Roman" w:cs="Times New Roman"/>
          <w:i/>
          <w:szCs w:val="24"/>
        </w:rPr>
        <w:t>Nyāyavārtika</w:t>
      </w:r>
      <w:r w:rsidRPr="00C74DE0">
        <w:rPr>
          <w:rFonts w:ascii="Times New Roman" w:hAnsi="Times New Roman" w:cs="Times New Roman"/>
          <w:szCs w:val="24"/>
        </w:rPr>
        <w:t xml:space="preserve">. However, Gautama gave his answer related to liberation </w:t>
      </w:r>
      <w:r w:rsidR="00341426">
        <w:rPr>
          <w:rFonts w:ascii="Times New Roman" w:hAnsi="Times New Roman" w:cs="Times New Roman"/>
          <w:szCs w:val="24"/>
        </w:rPr>
        <w:t>from</w:t>
      </w:r>
      <w:r w:rsidRPr="00C74DE0">
        <w:rPr>
          <w:rFonts w:ascii="Times New Roman" w:hAnsi="Times New Roman" w:cs="Times New Roman"/>
          <w:szCs w:val="24"/>
        </w:rPr>
        <w:t xml:space="preserve"> </w:t>
      </w:r>
      <w:r w:rsidR="00341426">
        <w:rPr>
          <w:rFonts w:ascii="Times New Roman" w:hAnsi="Times New Roman" w:cs="Times New Roman"/>
          <w:szCs w:val="24"/>
        </w:rPr>
        <w:t xml:space="preserve">a </w:t>
      </w:r>
      <w:r w:rsidRPr="00C74DE0">
        <w:rPr>
          <w:rFonts w:ascii="Times New Roman" w:hAnsi="Times New Roman" w:cs="Times New Roman"/>
          <w:szCs w:val="24"/>
        </w:rPr>
        <w:t xml:space="preserve">negative perspective in his second </w:t>
      </w:r>
      <w:r w:rsidRPr="00C74DE0">
        <w:rPr>
          <w:rFonts w:ascii="Times New Roman" w:hAnsi="Times New Roman" w:cs="Times New Roman"/>
          <w:i/>
          <w:szCs w:val="24"/>
        </w:rPr>
        <w:t>sūtra</w:t>
      </w:r>
      <w:r w:rsidRPr="00C74DE0">
        <w:rPr>
          <w:rFonts w:ascii="Times New Roman" w:hAnsi="Times New Roman" w:cs="Times New Roman"/>
          <w:szCs w:val="24"/>
        </w:rPr>
        <w:t xml:space="preserve">. Now, we </w:t>
      </w:r>
      <w:r w:rsidR="00341426">
        <w:rPr>
          <w:rFonts w:ascii="Times New Roman" w:hAnsi="Times New Roman" w:cs="Times New Roman"/>
          <w:szCs w:val="24"/>
        </w:rPr>
        <w:t>will</w:t>
      </w:r>
      <w:r w:rsidRPr="00C74DE0">
        <w:rPr>
          <w:rFonts w:ascii="Times New Roman" w:hAnsi="Times New Roman" w:cs="Times New Roman"/>
          <w:szCs w:val="24"/>
        </w:rPr>
        <w:t xml:space="preserve"> discuss how he answered those questions in the next section.</w:t>
      </w:r>
    </w:p>
    <w:p w14:paraId="763F9147" w14:textId="77777777"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b/>
          <w:szCs w:val="24"/>
        </w:rPr>
        <w:t xml:space="preserve">Significance of Gautama </w:t>
      </w:r>
      <w:r w:rsidRPr="00C74DE0">
        <w:rPr>
          <w:rFonts w:ascii="Times New Roman" w:hAnsi="Times New Roman" w:cs="Times New Roman"/>
          <w:b/>
          <w:i/>
          <w:szCs w:val="24"/>
        </w:rPr>
        <w:t>Nyāya-sūtra</w:t>
      </w:r>
      <w:r w:rsidRPr="00C74DE0">
        <w:rPr>
          <w:rFonts w:ascii="Times New Roman" w:hAnsi="Times New Roman" w:cs="Times New Roman"/>
          <w:b/>
          <w:szCs w:val="24"/>
        </w:rPr>
        <w:t xml:space="preserve"> (1.1.2) in Achieving </w:t>
      </w:r>
      <w:r w:rsidRPr="00C74DE0">
        <w:rPr>
          <w:rFonts w:ascii="Times New Roman" w:hAnsi="Times New Roman" w:cs="Times New Roman"/>
          <w:b/>
          <w:bCs/>
          <w:i/>
          <w:szCs w:val="24"/>
        </w:rPr>
        <w:t>Apavarga</w:t>
      </w:r>
    </w:p>
    <w:p w14:paraId="7FB5459A" w14:textId="77CB1112"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 xml:space="preserve">Gautama </w:t>
      </w:r>
      <w:r>
        <w:rPr>
          <w:rFonts w:ascii="Times New Roman" w:hAnsi="Times New Roman" w:cs="Times New Roman"/>
          <w:szCs w:val="24"/>
        </w:rPr>
        <w:t>answered</w:t>
      </w:r>
      <w:r w:rsidRPr="00C74DE0">
        <w:rPr>
          <w:rFonts w:ascii="Times New Roman" w:hAnsi="Times New Roman" w:cs="Times New Roman"/>
          <w:szCs w:val="24"/>
        </w:rPr>
        <w:t xml:space="preserve"> whether one gets liberation immediately after having the knowledge of </w:t>
      </w:r>
      <w:r w:rsidR="00341426">
        <w:rPr>
          <w:rFonts w:ascii="Times New Roman" w:hAnsi="Times New Roman" w:cs="Times New Roman"/>
          <w:szCs w:val="24"/>
        </w:rPr>
        <w:t xml:space="preserve">the </w:t>
      </w:r>
      <w:r w:rsidRPr="00C74DE0">
        <w:rPr>
          <w:rFonts w:ascii="Times New Roman" w:hAnsi="Times New Roman" w:cs="Times New Roman"/>
          <w:szCs w:val="24"/>
        </w:rPr>
        <w:t xml:space="preserve">sixteen categories in </w:t>
      </w:r>
      <w:r w:rsidR="00341426">
        <w:rPr>
          <w:rFonts w:ascii="Times New Roman" w:hAnsi="Times New Roman" w:cs="Times New Roman"/>
          <w:szCs w:val="24"/>
        </w:rPr>
        <w:t xml:space="preserve">a </w:t>
      </w:r>
      <w:r w:rsidRPr="00C74DE0">
        <w:rPr>
          <w:rFonts w:ascii="Times New Roman" w:hAnsi="Times New Roman" w:cs="Times New Roman"/>
          <w:szCs w:val="24"/>
        </w:rPr>
        <w:t xml:space="preserve">negative way. He mentioned the way of acquiring </w:t>
      </w:r>
      <w:r w:rsidRPr="00C74DE0">
        <w:rPr>
          <w:rFonts w:ascii="Times New Roman" w:hAnsi="Times New Roman" w:cs="Times New Roman"/>
          <w:i/>
          <w:szCs w:val="24"/>
        </w:rPr>
        <w:t>summum bonum</w:t>
      </w:r>
      <w:r w:rsidRPr="00C74DE0">
        <w:rPr>
          <w:rFonts w:ascii="Times New Roman" w:hAnsi="Times New Roman" w:cs="Times New Roman"/>
          <w:szCs w:val="24"/>
        </w:rPr>
        <w:t xml:space="preserve"> in his second </w:t>
      </w:r>
      <w:r w:rsidRPr="00C74DE0">
        <w:rPr>
          <w:rFonts w:ascii="Times New Roman" w:hAnsi="Times New Roman" w:cs="Times New Roman"/>
          <w:i/>
          <w:szCs w:val="24"/>
        </w:rPr>
        <w:t>sūtra</w:t>
      </w:r>
      <w:r w:rsidRPr="00C74DE0">
        <w:rPr>
          <w:rFonts w:ascii="Times New Roman" w:hAnsi="Times New Roman" w:cs="Times New Roman"/>
          <w:szCs w:val="24"/>
        </w:rPr>
        <w:t xml:space="preserve"> as follows:</w:t>
      </w:r>
    </w:p>
    <w:p w14:paraId="683C2C0A" w14:textId="77777777"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w:t>
      </w:r>
      <w:r w:rsidRPr="00C74DE0">
        <w:rPr>
          <w:rFonts w:ascii="Times New Roman" w:hAnsi="Times New Roman" w:cs="Times New Roman"/>
          <w:i/>
          <w:szCs w:val="24"/>
        </w:rPr>
        <w:t>Duhkha</w:t>
      </w:r>
      <w:r w:rsidRPr="00C74DE0">
        <w:rPr>
          <w:rFonts w:ascii="Times New Roman" w:hAnsi="Times New Roman" w:cs="Times New Roman"/>
          <w:szCs w:val="24"/>
        </w:rPr>
        <w:t>-</w:t>
      </w:r>
      <w:r w:rsidRPr="00C74DE0">
        <w:rPr>
          <w:rFonts w:ascii="Times New Roman" w:hAnsi="Times New Roman" w:cs="Times New Roman"/>
          <w:i/>
          <w:szCs w:val="24"/>
        </w:rPr>
        <w:t>janma</w:t>
      </w:r>
      <w:r w:rsidRPr="00C74DE0">
        <w:rPr>
          <w:rFonts w:ascii="Times New Roman" w:hAnsi="Times New Roman" w:cs="Times New Roman"/>
          <w:szCs w:val="24"/>
        </w:rPr>
        <w:t>-</w:t>
      </w:r>
      <w:r w:rsidRPr="00C74DE0">
        <w:rPr>
          <w:rFonts w:ascii="Times New Roman" w:hAnsi="Times New Roman" w:cs="Times New Roman"/>
          <w:i/>
          <w:szCs w:val="24"/>
        </w:rPr>
        <w:t>pravritti</w:t>
      </w:r>
      <w:r w:rsidRPr="00C74DE0">
        <w:rPr>
          <w:rFonts w:ascii="Times New Roman" w:hAnsi="Times New Roman" w:cs="Times New Roman"/>
          <w:szCs w:val="24"/>
        </w:rPr>
        <w:t>-</w:t>
      </w:r>
      <w:r w:rsidRPr="00C74DE0">
        <w:rPr>
          <w:rFonts w:ascii="Times New Roman" w:hAnsi="Times New Roman" w:cs="Times New Roman"/>
          <w:i/>
          <w:szCs w:val="24"/>
        </w:rPr>
        <w:t>doṣa</w:t>
      </w:r>
      <w:r w:rsidRPr="00C74DE0">
        <w:rPr>
          <w:rFonts w:ascii="Times New Roman" w:hAnsi="Times New Roman" w:cs="Times New Roman"/>
          <w:szCs w:val="24"/>
        </w:rPr>
        <w:t>-</w:t>
      </w:r>
      <w:r w:rsidRPr="00C74DE0">
        <w:rPr>
          <w:rFonts w:ascii="Times New Roman" w:hAnsi="Times New Roman" w:cs="Times New Roman"/>
          <w:i/>
          <w:szCs w:val="24"/>
        </w:rPr>
        <w:t>mithyājn͂āna</w:t>
      </w:r>
      <w:r w:rsidRPr="00C74DE0">
        <w:rPr>
          <w:rFonts w:ascii="Times New Roman" w:hAnsi="Times New Roman" w:cs="Times New Roman"/>
          <w:szCs w:val="24"/>
        </w:rPr>
        <w:t>-</w:t>
      </w:r>
      <w:r w:rsidRPr="00C74DE0">
        <w:rPr>
          <w:rFonts w:ascii="Times New Roman" w:hAnsi="Times New Roman" w:cs="Times New Roman"/>
          <w:i/>
          <w:szCs w:val="24"/>
        </w:rPr>
        <w:t xml:space="preserve">namūttarottrapāyetadantarāpāyāpvarga </w:t>
      </w:r>
      <w:r w:rsidRPr="00C74DE0">
        <w:rPr>
          <w:rFonts w:ascii="Times New Roman" w:hAnsi="Times New Roman" w:cs="Times New Roman"/>
          <w:szCs w:val="24"/>
        </w:rPr>
        <w:t>(</w:t>
      </w:r>
      <w:r w:rsidRPr="00C74DE0">
        <w:rPr>
          <w:rFonts w:ascii="Times New Roman" w:hAnsi="Times New Roman" w:cs="Times New Roman"/>
          <w:i/>
          <w:szCs w:val="24"/>
        </w:rPr>
        <w:t>Nyāya-sūtra</w:t>
      </w:r>
      <w:r w:rsidRPr="00C74DE0">
        <w:rPr>
          <w:rFonts w:ascii="Times New Roman" w:hAnsi="Times New Roman" w:cs="Times New Roman"/>
          <w:szCs w:val="24"/>
        </w:rPr>
        <w:t>, 1.1.2.)” (Gautama, 1981, p. 63)</w:t>
      </w:r>
    </w:p>
    <w:p w14:paraId="677268A7" w14:textId="22CF489B" w:rsidR="00C74DE0" w:rsidRPr="00C74DE0" w:rsidRDefault="00C74DE0" w:rsidP="00C74DE0">
      <w:pPr>
        <w:spacing w:line="360" w:lineRule="auto"/>
        <w:jc w:val="both"/>
        <w:rPr>
          <w:rFonts w:ascii="Times New Roman" w:hAnsi="Times New Roman" w:cs="Times New Roman"/>
          <w:iCs/>
          <w:szCs w:val="24"/>
        </w:rPr>
      </w:pPr>
      <w:r w:rsidRPr="00C74DE0">
        <w:rPr>
          <w:rFonts w:ascii="Times New Roman" w:hAnsi="Times New Roman" w:cs="Times New Roman"/>
          <w:szCs w:val="24"/>
        </w:rPr>
        <w:t xml:space="preserve">The </w:t>
      </w:r>
      <w:r w:rsidRPr="00C74DE0">
        <w:rPr>
          <w:rFonts w:ascii="Times New Roman" w:hAnsi="Times New Roman" w:cs="Times New Roman"/>
          <w:i/>
          <w:szCs w:val="24"/>
        </w:rPr>
        <w:t xml:space="preserve">sūtra </w:t>
      </w:r>
      <w:r w:rsidRPr="00C74DE0">
        <w:rPr>
          <w:rFonts w:ascii="Times New Roman" w:hAnsi="Times New Roman" w:cs="Times New Roman"/>
          <w:szCs w:val="24"/>
        </w:rPr>
        <w:t xml:space="preserve">explains the causal sequence through which </w:t>
      </w:r>
      <w:r w:rsidRPr="00C74DE0">
        <w:rPr>
          <w:rFonts w:ascii="Times New Roman" w:hAnsi="Times New Roman" w:cs="Times New Roman"/>
          <w:i/>
          <w:iCs/>
          <w:szCs w:val="24"/>
        </w:rPr>
        <w:t>tattva-jn͂āna</w:t>
      </w:r>
      <w:r w:rsidRPr="00C74DE0">
        <w:rPr>
          <w:rFonts w:ascii="Times New Roman" w:hAnsi="Times New Roman" w:cs="Times New Roman"/>
          <w:szCs w:val="24"/>
        </w:rPr>
        <w:t xml:space="preserve"> ultimately leads to liberation. This </w:t>
      </w:r>
      <w:r w:rsidRPr="00C74DE0">
        <w:rPr>
          <w:rFonts w:ascii="Times New Roman" w:hAnsi="Times New Roman" w:cs="Times New Roman"/>
          <w:i/>
          <w:szCs w:val="24"/>
        </w:rPr>
        <w:t>sūtra</w:t>
      </w:r>
      <w:r w:rsidRPr="00C74DE0">
        <w:rPr>
          <w:rFonts w:ascii="Times New Roman" w:hAnsi="Times New Roman" w:cs="Times New Roman"/>
          <w:szCs w:val="24"/>
        </w:rPr>
        <w:t xml:space="preserve"> provides </w:t>
      </w:r>
      <w:r w:rsidR="00341426">
        <w:rPr>
          <w:rFonts w:ascii="Times New Roman" w:hAnsi="Times New Roman" w:cs="Times New Roman"/>
          <w:szCs w:val="24"/>
        </w:rPr>
        <w:t>a</w:t>
      </w:r>
      <w:r w:rsidRPr="00C74DE0">
        <w:rPr>
          <w:rFonts w:ascii="Times New Roman" w:hAnsi="Times New Roman" w:cs="Times New Roman"/>
          <w:szCs w:val="24"/>
        </w:rPr>
        <w:t xml:space="preserve"> brief emphasis </w:t>
      </w:r>
      <w:r w:rsidR="00341426">
        <w:rPr>
          <w:rFonts w:ascii="Times New Roman" w:hAnsi="Times New Roman" w:cs="Times New Roman"/>
          <w:szCs w:val="24"/>
        </w:rPr>
        <w:t>on</w:t>
      </w:r>
      <w:r w:rsidRPr="00C74DE0">
        <w:rPr>
          <w:rFonts w:ascii="Times New Roman" w:hAnsi="Times New Roman" w:cs="Times New Roman"/>
          <w:szCs w:val="24"/>
        </w:rPr>
        <w:t xml:space="preserve"> suffering (</w:t>
      </w:r>
      <w:r w:rsidRPr="00C74DE0">
        <w:rPr>
          <w:rFonts w:ascii="Times New Roman" w:hAnsi="Times New Roman" w:cs="Times New Roman"/>
          <w:i/>
          <w:szCs w:val="24"/>
        </w:rPr>
        <w:t>duḥkha</w:t>
      </w:r>
      <w:r w:rsidRPr="00C74DE0">
        <w:rPr>
          <w:rFonts w:ascii="Times New Roman" w:hAnsi="Times New Roman" w:cs="Times New Roman"/>
          <w:szCs w:val="24"/>
        </w:rPr>
        <w:t>), birth (</w:t>
      </w:r>
      <w:r w:rsidRPr="00C74DE0">
        <w:rPr>
          <w:rFonts w:ascii="Times New Roman" w:hAnsi="Times New Roman" w:cs="Times New Roman"/>
          <w:i/>
          <w:szCs w:val="24"/>
        </w:rPr>
        <w:t>janma</w:t>
      </w:r>
      <w:r w:rsidRPr="00C74DE0">
        <w:rPr>
          <w:rFonts w:ascii="Times New Roman" w:hAnsi="Times New Roman" w:cs="Times New Roman"/>
          <w:szCs w:val="24"/>
        </w:rPr>
        <w:t>), activity (</w:t>
      </w:r>
      <w:r w:rsidRPr="00C74DE0">
        <w:rPr>
          <w:rFonts w:ascii="Times New Roman" w:hAnsi="Times New Roman" w:cs="Times New Roman"/>
          <w:i/>
          <w:szCs w:val="24"/>
        </w:rPr>
        <w:t>pravrtti</w:t>
      </w:r>
      <w:r w:rsidRPr="00C74DE0">
        <w:rPr>
          <w:rFonts w:ascii="Times New Roman" w:hAnsi="Times New Roman" w:cs="Times New Roman"/>
          <w:szCs w:val="24"/>
        </w:rPr>
        <w:t>), evil (</w:t>
      </w:r>
      <w:r w:rsidRPr="00C74DE0">
        <w:rPr>
          <w:rFonts w:ascii="Times New Roman" w:hAnsi="Times New Roman" w:cs="Times New Roman"/>
          <w:i/>
          <w:szCs w:val="24"/>
        </w:rPr>
        <w:t>doṣa</w:t>
      </w:r>
      <w:r w:rsidRPr="00C74DE0">
        <w:rPr>
          <w:rFonts w:ascii="Times New Roman" w:hAnsi="Times New Roman" w:cs="Times New Roman"/>
          <w:szCs w:val="24"/>
        </w:rPr>
        <w:t>), and false knowledge (</w:t>
      </w:r>
      <w:r w:rsidRPr="00C74DE0">
        <w:rPr>
          <w:rFonts w:ascii="Times New Roman" w:hAnsi="Times New Roman" w:cs="Times New Roman"/>
          <w:i/>
          <w:szCs w:val="24"/>
        </w:rPr>
        <w:t>mithy</w:t>
      </w:r>
      <w:r w:rsidRPr="00C74DE0">
        <w:rPr>
          <w:rFonts w:ascii="Times New Roman" w:hAnsi="Times New Roman" w:cs="Times New Roman"/>
          <w:i/>
          <w:iCs/>
          <w:szCs w:val="24"/>
        </w:rPr>
        <w:t>ā</w:t>
      </w:r>
      <w:r w:rsidRPr="00C74DE0">
        <w:rPr>
          <w:rFonts w:ascii="Times New Roman" w:hAnsi="Times New Roman" w:cs="Times New Roman"/>
          <w:i/>
          <w:szCs w:val="24"/>
        </w:rPr>
        <w:t>jn͂āna</w:t>
      </w:r>
      <w:r w:rsidRPr="00C74DE0">
        <w:rPr>
          <w:rFonts w:ascii="Times New Roman" w:hAnsi="Times New Roman" w:cs="Times New Roman"/>
          <w:szCs w:val="24"/>
        </w:rPr>
        <w:t xml:space="preserve">). When each previous one mentioned in this series is removed in consequence of the removal of the one immediately following it, liberation is attained. Gautama suggested that </w:t>
      </w:r>
      <w:r w:rsidRPr="00C74DE0">
        <w:rPr>
          <w:rFonts w:ascii="Times New Roman" w:hAnsi="Times New Roman" w:cs="Times New Roman"/>
          <w:i/>
          <w:iCs/>
          <w:szCs w:val="24"/>
        </w:rPr>
        <w:t xml:space="preserve">tattva-jn͂āna </w:t>
      </w:r>
      <w:r w:rsidRPr="00C74DE0">
        <w:rPr>
          <w:rFonts w:ascii="Times New Roman" w:hAnsi="Times New Roman" w:cs="Times New Roman"/>
          <w:szCs w:val="24"/>
        </w:rPr>
        <w:t xml:space="preserve">leads to the removal of </w:t>
      </w:r>
      <w:r w:rsidRPr="00C74DE0">
        <w:rPr>
          <w:rFonts w:ascii="Times New Roman" w:hAnsi="Times New Roman" w:cs="Times New Roman"/>
          <w:i/>
          <w:szCs w:val="24"/>
        </w:rPr>
        <w:t>mithyājn͂āna</w:t>
      </w:r>
      <w:r w:rsidRPr="00C74DE0">
        <w:rPr>
          <w:rFonts w:ascii="Times New Roman" w:hAnsi="Times New Roman" w:cs="Times New Roman"/>
          <w:iCs/>
          <w:szCs w:val="24"/>
        </w:rPr>
        <w:t xml:space="preserve">. </w:t>
      </w:r>
      <w:r w:rsidRPr="00C74DE0">
        <w:rPr>
          <w:rFonts w:ascii="Times New Roman" w:hAnsi="Times New Roman" w:cs="Times New Roman"/>
          <w:i/>
          <w:szCs w:val="24"/>
        </w:rPr>
        <w:t>Mithyājn͂āna</w:t>
      </w:r>
      <w:r w:rsidRPr="00C74DE0">
        <w:rPr>
          <w:rFonts w:ascii="Times New Roman" w:hAnsi="Times New Roman" w:cs="Times New Roman"/>
          <w:szCs w:val="24"/>
        </w:rPr>
        <w:t xml:space="preserve"> being the cause of </w:t>
      </w:r>
      <w:r w:rsidRPr="00C74DE0">
        <w:rPr>
          <w:rFonts w:ascii="Times New Roman" w:hAnsi="Times New Roman" w:cs="Times New Roman"/>
          <w:i/>
          <w:szCs w:val="24"/>
        </w:rPr>
        <w:t>doṣa</w:t>
      </w:r>
      <w:r w:rsidRPr="00C74DE0">
        <w:rPr>
          <w:rFonts w:ascii="Times New Roman" w:hAnsi="Times New Roman" w:cs="Times New Roman"/>
          <w:iCs/>
          <w:szCs w:val="24"/>
        </w:rPr>
        <w:t>, its removal</w:t>
      </w:r>
      <w:r w:rsidRPr="00C74DE0">
        <w:rPr>
          <w:rFonts w:ascii="Times New Roman" w:hAnsi="Times New Roman" w:cs="Times New Roman"/>
          <w:szCs w:val="24"/>
        </w:rPr>
        <w:t xml:space="preserve"> leads to the removal of its effect, namely </w:t>
      </w:r>
      <w:r w:rsidRPr="00C74DE0">
        <w:rPr>
          <w:rFonts w:ascii="Times New Roman" w:hAnsi="Times New Roman" w:cs="Times New Roman"/>
          <w:i/>
          <w:szCs w:val="24"/>
        </w:rPr>
        <w:t>doṣa</w:t>
      </w:r>
      <w:r w:rsidRPr="00C74DE0">
        <w:rPr>
          <w:rFonts w:ascii="Times New Roman" w:hAnsi="Times New Roman" w:cs="Times New Roman"/>
          <w:szCs w:val="24"/>
        </w:rPr>
        <w:t xml:space="preserve">. </w:t>
      </w:r>
      <w:r w:rsidRPr="00C74DE0">
        <w:rPr>
          <w:rFonts w:ascii="Times New Roman" w:hAnsi="Times New Roman" w:cs="Times New Roman"/>
          <w:i/>
          <w:szCs w:val="24"/>
        </w:rPr>
        <w:t xml:space="preserve">Doṣa </w:t>
      </w:r>
      <w:r w:rsidRPr="00C74DE0">
        <w:rPr>
          <w:rFonts w:ascii="Times New Roman" w:hAnsi="Times New Roman" w:cs="Times New Roman"/>
          <w:szCs w:val="24"/>
        </w:rPr>
        <w:t xml:space="preserve">being the cause of </w:t>
      </w:r>
      <w:r w:rsidRPr="00C74DE0">
        <w:rPr>
          <w:rFonts w:ascii="Times New Roman" w:hAnsi="Times New Roman" w:cs="Times New Roman"/>
          <w:i/>
          <w:szCs w:val="24"/>
        </w:rPr>
        <w:t>pravrtti</w:t>
      </w:r>
      <w:r w:rsidRPr="00C74DE0">
        <w:rPr>
          <w:rFonts w:ascii="Times New Roman" w:hAnsi="Times New Roman" w:cs="Times New Roman"/>
          <w:iCs/>
          <w:szCs w:val="24"/>
        </w:rPr>
        <w:t>, its removal</w:t>
      </w:r>
      <w:r w:rsidRPr="00C74DE0">
        <w:rPr>
          <w:rFonts w:ascii="Times New Roman" w:hAnsi="Times New Roman" w:cs="Times New Roman"/>
          <w:szCs w:val="24"/>
        </w:rPr>
        <w:t xml:space="preserve"> leads to the removal of its effect, namely</w:t>
      </w:r>
      <w:r w:rsidR="00341426">
        <w:rPr>
          <w:rFonts w:ascii="Times New Roman" w:hAnsi="Times New Roman" w:cs="Times New Roman"/>
          <w:szCs w:val="24"/>
        </w:rPr>
        <w:t>,</w:t>
      </w:r>
      <w:r w:rsidRPr="00C74DE0">
        <w:rPr>
          <w:rFonts w:ascii="Times New Roman" w:hAnsi="Times New Roman" w:cs="Times New Roman"/>
          <w:szCs w:val="24"/>
        </w:rPr>
        <w:t xml:space="preserve"> </w:t>
      </w:r>
      <w:r w:rsidR="00341426">
        <w:rPr>
          <w:rFonts w:ascii="Times New Roman" w:hAnsi="Times New Roman" w:cs="Times New Roman"/>
          <w:i/>
          <w:szCs w:val="24"/>
        </w:rPr>
        <w:t>pravrtti</w:t>
      </w:r>
      <w:r w:rsidRPr="00C74DE0">
        <w:rPr>
          <w:rFonts w:ascii="Times New Roman" w:hAnsi="Times New Roman" w:cs="Times New Roman"/>
          <w:szCs w:val="24"/>
        </w:rPr>
        <w:t xml:space="preserve">. </w:t>
      </w:r>
      <w:r w:rsidRPr="00C74DE0">
        <w:rPr>
          <w:rFonts w:ascii="Times New Roman" w:hAnsi="Times New Roman" w:cs="Times New Roman"/>
          <w:i/>
          <w:szCs w:val="24"/>
        </w:rPr>
        <w:t xml:space="preserve">Pravrtti </w:t>
      </w:r>
      <w:r w:rsidRPr="00C74DE0">
        <w:rPr>
          <w:rFonts w:ascii="Times New Roman" w:hAnsi="Times New Roman" w:cs="Times New Roman"/>
          <w:szCs w:val="24"/>
        </w:rPr>
        <w:t xml:space="preserve">being the cause of </w:t>
      </w:r>
      <w:r w:rsidRPr="00C74DE0">
        <w:rPr>
          <w:rFonts w:ascii="Times New Roman" w:hAnsi="Times New Roman" w:cs="Times New Roman"/>
          <w:i/>
          <w:szCs w:val="24"/>
        </w:rPr>
        <w:t>janma</w:t>
      </w:r>
      <w:r w:rsidRPr="00C74DE0">
        <w:rPr>
          <w:rFonts w:ascii="Times New Roman" w:hAnsi="Times New Roman" w:cs="Times New Roman"/>
          <w:iCs/>
          <w:szCs w:val="24"/>
        </w:rPr>
        <w:t>, its removal</w:t>
      </w:r>
      <w:r w:rsidRPr="00C74DE0">
        <w:rPr>
          <w:rFonts w:ascii="Times New Roman" w:hAnsi="Times New Roman" w:cs="Times New Roman"/>
          <w:szCs w:val="24"/>
        </w:rPr>
        <w:t xml:space="preserve"> leads to the removal of its effect, namely </w:t>
      </w:r>
      <w:r w:rsidRPr="00C74DE0">
        <w:rPr>
          <w:rFonts w:ascii="Times New Roman" w:hAnsi="Times New Roman" w:cs="Times New Roman"/>
          <w:i/>
          <w:szCs w:val="24"/>
        </w:rPr>
        <w:t xml:space="preserve">janma. Janma </w:t>
      </w:r>
      <w:r w:rsidRPr="00C74DE0">
        <w:rPr>
          <w:rFonts w:ascii="Times New Roman" w:hAnsi="Times New Roman" w:cs="Times New Roman"/>
          <w:szCs w:val="24"/>
        </w:rPr>
        <w:t xml:space="preserve">being the cause of </w:t>
      </w:r>
      <w:r w:rsidRPr="00C74DE0">
        <w:rPr>
          <w:rFonts w:ascii="Times New Roman" w:hAnsi="Times New Roman" w:cs="Times New Roman"/>
          <w:i/>
          <w:iCs/>
          <w:szCs w:val="24"/>
        </w:rPr>
        <w:t>duḥkha</w:t>
      </w:r>
      <w:r w:rsidRPr="00C74DE0">
        <w:rPr>
          <w:rFonts w:ascii="Times New Roman" w:hAnsi="Times New Roman" w:cs="Times New Roman"/>
          <w:iCs/>
          <w:szCs w:val="24"/>
        </w:rPr>
        <w:t>, its removal</w:t>
      </w:r>
      <w:r w:rsidRPr="00C74DE0">
        <w:rPr>
          <w:rFonts w:ascii="Times New Roman" w:hAnsi="Times New Roman" w:cs="Times New Roman"/>
          <w:szCs w:val="24"/>
        </w:rPr>
        <w:t xml:space="preserve"> leads to the removal of its effect, namely </w:t>
      </w:r>
      <w:r w:rsidRPr="00C74DE0">
        <w:rPr>
          <w:rFonts w:ascii="Times New Roman" w:hAnsi="Times New Roman" w:cs="Times New Roman"/>
          <w:i/>
          <w:iCs/>
          <w:szCs w:val="24"/>
        </w:rPr>
        <w:t>duḥkha</w:t>
      </w:r>
      <w:r w:rsidRPr="00C74DE0">
        <w:rPr>
          <w:rFonts w:ascii="Times New Roman" w:hAnsi="Times New Roman" w:cs="Times New Roman"/>
          <w:i/>
          <w:szCs w:val="24"/>
        </w:rPr>
        <w:t xml:space="preserve">. </w:t>
      </w:r>
      <w:bookmarkStart w:id="15" w:name="_Hlk194502208"/>
    </w:p>
    <w:p w14:paraId="2B25B386" w14:textId="77777777" w:rsidR="00C74DE0" w:rsidRPr="00C74DE0" w:rsidRDefault="00C74DE0" w:rsidP="00C74DE0">
      <w:pPr>
        <w:spacing w:line="360" w:lineRule="auto"/>
        <w:jc w:val="both"/>
        <w:rPr>
          <w:rFonts w:ascii="Times New Roman" w:hAnsi="Times New Roman" w:cs="Times New Roman"/>
          <w:szCs w:val="24"/>
        </w:rPr>
      </w:pPr>
    </w:p>
    <w:bookmarkEnd w:id="15"/>
    <w:p w14:paraId="4D0801DD" w14:textId="31104301" w:rsidR="00F871C1" w:rsidRDefault="00F871C1" w:rsidP="00C74DE0">
      <w:pPr>
        <w:spacing w:line="360" w:lineRule="auto"/>
        <w:jc w:val="both"/>
        <w:rPr>
          <w:rFonts w:ascii="Times New Roman" w:hAnsi="Times New Roman" w:cs="Times New Roman"/>
          <w:szCs w:val="24"/>
        </w:rPr>
      </w:pPr>
      <w:r>
        <w:rPr>
          <w:rFonts w:ascii="Times New Roman" w:hAnsi="Times New Roman" w:cs="Times New Roman"/>
          <w:noProof/>
          <w:szCs w:val="24"/>
        </w:rPr>
        <w:lastRenderedPageBreak/>
        <w:drawing>
          <wp:anchor distT="0" distB="0" distL="114300" distR="114300" simplePos="0" relativeHeight="251679744" behindDoc="0" locked="0" layoutInCell="1" allowOverlap="1" wp14:anchorId="269CB6F4" wp14:editId="2625D0CF">
            <wp:simplePos x="0" y="0"/>
            <wp:positionH relativeFrom="column">
              <wp:posOffset>2675255</wp:posOffset>
            </wp:positionH>
            <wp:positionV relativeFrom="paragraph">
              <wp:posOffset>558</wp:posOffset>
            </wp:positionV>
            <wp:extent cx="3030855" cy="2809875"/>
            <wp:effectExtent l="0" t="0" r="0" b="9525"/>
            <wp:wrapSquare wrapText="bothSides"/>
            <wp:docPr id="4199276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27610" name="Picture 419927610"/>
                    <pic:cNvPicPr/>
                  </pic:nvPicPr>
                  <pic:blipFill>
                    <a:blip r:embed="rId19">
                      <a:extLst>
                        <a:ext uri="{28A0092B-C50C-407E-A947-70E740481C1C}">
                          <a14:useLocalDpi xmlns:a14="http://schemas.microsoft.com/office/drawing/2010/main" val="0"/>
                        </a:ext>
                      </a:extLst>
                    </a:blip>
                    <a:stretch>
                      <a:fillRect/>
                    </a:stretch>
                  </pic:blipFill>
                  <pic:spPr>
                    <a:xfrm>
                      <a:off x="0" y="0"/>
                      <a:ext cx="3030855" cy="2809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rPr>
        <w:drawing>
          <wp:anchor distT="0" distB="0" distL="114300" distR="114300" simplePos="0" relativeHeight="251678720" behindDoc="0" locked="0" layoutInCell="1" allowOverlap="1" wp14:anchorId="5E4B88D3" wp14:editId="6E78243A">
            <wp:simplePos x="0" y="0"/>
            <wp:positionH relativeFrom="column">
              <wp:posOffset>0</wp:posOffset>
            </wp:positionH>
            <wp:positionV relativeFrom="paragraph">
              <wp:posOffset>0</wp:posOffset>
            </wp:positionV>
            <wp:extent cx="2520950" cy="2525395"/>
            <wp:effectExtent l="0" t="0" r="0" b="8255"/>
            <wp:wrapSquare wrapText="bothSides"/>
            <wp:docPr id="10109682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68221" name="Picture 1010968221"/>
                    <pic:cNvPicPr/>
                  </pic:nvPicPr>
                  <pic:blipFill>
                    <a:blip r:embed="rId20">
                      <a:extLst>
                        <a:ext uri="{28A0092B-C50C-407E-A947-70E740481C1C}">
                          <a14:useLocalDpi xmlns:a14="http://schemas.microsoft.com/office/drawing/2010/main" val="0"/>
                        </a:ext>
                      </a:extLst>
                    </a:blip>
                    <a:stretch>
                      <a:fillRect/>
                    </a:stretch>
                  </pic:blipFill>
                  <pic:spPr>
                    <a:xfrm>
                      <a:off x="0" y="0"/>
                      <a:ext cx="2520950" cy="2525395"/>
                    </a:xfrm>
                    <a:prstGeom prst="rect">
                      <a:avLst/>
                    </a:prstGeom>
                  </pic:spPr>
                </pic:pic>
              </a:graphicData>
            </a:graphic>
            <wp14:sizeRelH relativeFrom="page">
              <wp14:pctWidth>0</wp14:pctWidth>
            </wp14:sizeRelH>
            <wp14:sizeRelV relativeFrom="page">
              <wp14:pctHeight>0</wp14:pctHeight>
            </wp14:sizeRelV>
          </wp:anchor>
        </w:drawing>
      </w:r>
    </w:p>
    <w:p w14:paraId="08EB528D" w14:textId="1C47061D"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 xml:space="preserve"> Table: The cause of life (left) and the process of liberation (right)</w:t>
      </w:r>
    </w:p>
    <w:p w14:paraId="46CA8E24" w14:textId="4E542CC4"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Gautama</w:t>
      </w:r>
      <w:r w:rsidR="00341426">
        <w:rPr>
          <w:rFonts w:ascii="Times New Roman" w:hAnsi="Times New Roman" w:cs="Times New Roman"/>
          <w:szCs w:val="24"/>
        </w:rPr>
        <w:t>,</w:t>
      </w:r>
      <w:r w:rsidRPr="00C74DE0">
        <w:rPr>
          <w:rFonts w:ascii="Times New Roman" w:hAnsi="Times New Roman" w:cs="Times New Roman"/>
          <w:szCs w:val="24"/>
        </w:rPr>
        <w:t xml:space="preserve"> in his first </w:t>
      </w:r>
      <w:r w:rsidRPr="00C74DE0">
        <w:rPr>
          <w:rFonts w:ascii="Times New Roman" w:hAnsi="Times New Roman" w:cs="Times New Roman"/>
          <w:i/>
          <w:szCs w:val="24"/>
        </w:rPr>
        <w:t>sūtra</w:t>
      </w:r>
      <w:r w:rsidR="00341426">
        <w:rPr>
          <w:rFonts w:ascii="Times New Roman" w:hAnsi="Times New Roman" w:cs="Times New Roman"/>
          <w:i/>
          <w:szCs w:val="24"/>
        </w:rPr>
        <w:t>,</w:t>
      </w:r>
      <w:r w:rsidRPr="00C74DE0">
        <w:rPr>
          <w:rFonts w:ascii="Times New Roman" w:hAnsi="Times New Roman" w:cs="Times New Roman"/>
          <w:szCs w:val="24"/>
        </w:rPr>
        <w:t xml:space="preserve"> discussed the nature of sixteen categories and </w:t>
      </w:r>
      <w:r w:rsidR="00341426">
        <w:rPr>
          <w:rFonts w:ascii="Times New Roman" w:hAnsi="Times New Roman" w:cs="Times New Roman"/>
          <w:szCs w:val="24"/>
        </w:rPr>
        <w:t>their</w:t>
      </w:r>
      <w:r w:rsidRPr="00C74DE0">
        <w:rPr>
          <w:rFonts w:ascii="Times New Roman" w:hAnsi="Times New Roman" w:cs="Times New Roman"/>
          <w:szCs w:val="24"/>
        </w:rPr>
        <w:t xml:space="preserve"> aim for the attainment of liberation. With this very fact</w:t>
      </w:r>
      <w:r w:rsidR="00341426">
        <w:rPr>
          <w:rFonts w:ascii="Times New Roman" w:hAnsi="Times New Roman" w:cs="Times New Roman"/>
          <w:szCs w:val="24"/>
        </w:rPr>
        <w:t>,</w:t>
      </w:r>
      <w:r w:rsidRPr="00C74DE0">
        <w:rPr>
          <w:rFonts w:ascii="Times New Roman" w:hAnsi="Times New Roman" w:cs="Times New Roman"/>
          <w:szCs w:val="24"/>
        </w:rPr>
        <w:t xml:space="preserve"> he mentioned the way one can achieve liberation. But this can be valid only through the critical examination. According to him, the ultimate cause of life and suffering is </w:t>
      </w:r>
      <w:r w:rsidRPr="00C74DE0">
        <w:rPr>
          <w:rFonts w:ascii="Times New Roman" w:hAnsi="Times New Roman" w:cs="Times New Roman"/>
          <w:i/>
          <w:szCs w:val="24"/>
        </w:rPr>
        <w:t>mithyājn͂āna</w:t>
      </w:r>
      <w:r w:rsidRPr="00C74DE0">
        <w:rPr>
          <w:rFonts w:ascii="Times New Roman" w:hAnsi="Times New Roman" w:cs="Times New Roman"/>
          <w:szCs w:val="24"/>
        </w:rPr>
        <w:t xml:space="preserve">. He also pointed out that because of the false knowledge one gets </w:t>
      </w:r>
      <w:r w:rsidR="00341426">
        <w:rPr>
          <w:rFonts w:ascii="Times New Roman" w:hAnsi="Times New Roman" w:cs="Times New Roman"/>
          <w:szCs w:val="24"/>
        </w:rPr>
        <w:t>at</w:t>
      </w:r>
      <w:r w:rsidRPr="00C74DE0">
        <w:rPr>
          <w:rFonts w:ascii="Times New Roman" w:hAnsi="Times New Roman" w:cs="Times New Roman"/>
          <w:szCs w:val="24"/>
        </w:rPr>
        <w:t xml:space="preserve"> birth. The essence of </w:t>
      </w:r>
      <w:r w:rsidRPr="00C74DE0">
        <w:rPr>
          <w:rFonts w:ascii="Times New Roman" w:hAnsi="Times New Roman" w:cs="Times New Roman"/>
          <w:i/>
          <w:szCs w:val="24"/>
        </w:rPr>
        <w:t>mithyājn͂āna</w:t>
      </w:r>
      <w:r w:rsidRPr="00C74DE0">
        <w:rPr>
          <w:rFonts w:ascii="Times New Roman" w:hAnsi="Times New Roman" w:cs="Times New Roman"/>
          <w:szCs w:val="24"/>
        </w:rPr>
        <w:t xml:space="preserve"> is about the kind of knowledge when one thinks that the soul is nothing but his body. These kinds of false knowledge cause the birth. According to Gautama, the removal of </w:t>
      </w:r>
      <w:r w:rsidRPr="00C74DE0">
        <w:rPr>
          <w:rFonts w:ascii="Times New Roman" w:hAnsi="Times New Roman" w:cs="Times New Roman"/>
          <w:i/>
          <w:szCs w:val="24"/>
        </w:rPr>
        <w:t>mithyajn͂āna</w:t>
      </w:r>
      <w:r w:rsidRPr="00C74DE0">
        <w:rPr>
          <w:rFonts w:ascii="Times New Roman" w:hAnsi="Times New Roman" w:cs="Times New Roman"/>
          <w:szCs w:val="24"/>
        </w:rPr>
        <w:t xml:space="preserve"> leads to the removal of </w:t>
      </w:r>
      <w:r w:rsidRPr="00C74DE0">
        <w:rPr>
          <w:rFonts w:ascii="Times New Roman" w:hAnsi="Times New Roman" w:cs="Times New Roman"/>
          <w:i/>
          <w:szCs w:val="24"/>
        </w:rPr>
        <w:t>dosa</w:t>
      </w:r>
      <w:r w:rsidRPr="00C74DE0">
        <w:rPr>
          <w:rFonts w:ascii="Times New Roman" w:hAnsi="Times New Roman" w:cs="Times New Roman"/>
          <w:szCs w:val="24"/>
        </w:rPr>
        <w:t xml:space="preserve">, </w:t>
      </w:r>
      <w:r w:rsidRPr="00C74DE0">
        <w:rPr>
          <w:rFonts w:ascii="Times New Roman" w:hAnsi="Times New Roman" w:cs="Times New Roman"/>
          <w:i/>
          <w:szCs w:val="24"/>
        </w:rPr>
        <w:t>pravrtti</w:t>
      </w:r>
      <w:r w:rsidRPr="00C74DE0">
        <w:rPr>
          <w:rFonts w:ascii="Times New Roman" w:hAnsi="Times New Roman" w:cs="Times New Roman"/>
          <w:szCs w:val="24"/>
        </w:rPr>
        <w:t xml:space="preserve">, </w:t>
      </w:r>
      <w:r w:rsidRPr="00C74DE0">
        <w:rPr>
          <w:rFonts w:ascii="Times New Roman" w:hAnsi="Times New Roman" w:cs="Times New Roman"/>
          <w:i/>
          <w:szCs w:val="24"/>
        </w:rPr>
        <w:t>janma</w:t>
      </w:r>
      <w:r w:rsidRPr="00C74DE0">
        <w:rPr>
          <w:rFonts w:ascii="Times New Roman" w:hAnsi="Times New Roman" w:cs="Times New Roman"/>
          <w:szCs w:val="24"/>
        </w:rPr>
        <w:t xml:space="preserve">, </w:t>
      </w:r>
      <w:r w:rsidRPr="00C74DE0">
        <w:rPr>
          <w:rFonts w:ascii="Times New Roman" w:hAnsi="Times New Roman" w:cs="Times New Roman"/>
          <w:i/>
          <w:szCs w:val="24"/>
        </w:rPr>
        <w:t>duh̩kha</w:t>
      </w:r>
      <w:r w:rsidR="00341426">
        <w:rPr>
          <w:rFonts w:ascii="Times New Roman" w:hAnsi="Times New Roman" w:cs="Times New Roman"/>
          <w:i/>
          <w:szCs w:val="24"/>
        </w:rPr>
        <w:t>,</w:t>
      </w:r>
      <w:r w:rsidRPr="00C74DE0">
        <w:rPr>
          <w:rFonts w:ascii="Times New Roman" w:hAnsi="Times New Roman" w:cs="Times New Roman"/>
          <w:szCs w:val="24"/>
        </w:rPr>
        <w:t xml:space="preserve"> and ultimately results in liberation. The suffering of life is only because of birth (</w:t>
      </w:r>
      <w:r w:rsidRPr="00C74DE0">
        <w:rPr>
          <w:rFonts w:ascii="Times New Roman" w:hAnsi="Times New Roman" w:cs="Times New Roman"/>
          <w:i/>
          <w:szCs w:val="24"/>
        </w:rPr>
        <w:t>janma</w:t>
      </w:r>
      <w:r w:rsidRPr="00C74DE0">
        <w:rPr>
          <w:rFonts w:ascii="Times New Roman" w:hAnsi="Times New Roman" w:cs="Times New Roman"/>
          <w:szCs w:val="24"/>
        </w:rPr>
        <w:t>). One gets into birth because of the merits and demerits of his past actions (</w:t>
      </w:r>
      <w:r w:rsidRPr="00C74DE0">
        <w:rPr>
          <w:rFonts w:ascii="Times New Roman" w:hAnsi="Times New Roman" w:cs="Times New Roman"/>
          <w:i/>
          <w:szCs w:val="24"/>
        </w:rPr>
        <w:t>karma</w:t>
      </w:r>
      <w:r w:rsidRPr="00C74DE0">
        <w:rPr>
          <w:rFonts w:ascii="Times New Roman" w:hAnsi="Times New Roman" w:cs="Times New Roman"/>
          <w:szCs w:val="24"/>
        </w:rPr>
        <w:t>)</w:t>
      </w:r>
      <w:r w:rsidR="00341426">
        <w:rPr>
          <w:rFonts w:ascii="Times New Roman" w:hAnsi="Times New Roman" w:cs="Times New Roman"/>
          <w:szCs w:val="24"/>
        </w:rPr>
        <w:t>,</w:t>
      </w:r>
      <w:r w:rsidRPr="00C74DE0">
        <w:rPr>
          <w:rFonts w:ascii="Times New Roman" w:hAnsi="Times New Roman" w:cs="Times New Roman"/>
          <w:szCs w:val="24"/>
        </w:rPr>
        <w:t xml:space="preserve"> which lead to the motivation (</w:t>
      </w:r>
      <w:r w:rsidRPr="00C74DE0">
        <w:rPr>
          <w:rFonts w:ascii="Times New Roman" w:hAnsi="Times New Roman" w:cs="Times New Roman"/>
          <w:i/>
          <w:szCs w:val="24"/>
        </w:rPr>
        <w:t>pravrtti</w:t>
      </w:r>
      <w:r w:rsidRPr="00C74DE0">
        <w:rPr>
          <w:rFonts w:ascii="Times New Roman" w:hAnsi="Times New Roman" w:cs="Times New Roman"/>
          <w:szCs w:val="24"/>
        </w:rPr>
        <w:t xml:space="preserve">) of life. The word </w:t>
      </w:r>
      <w:r w:rsidRPr="00C74DE0">
        <w:rPr>
          <w:rFonts w:ascii="Times New Roman" w:hAnsi="Times New Roman" w:cs="Times New Roman"/>
          <w:i/>
          <w:szCs w:val="24"/>
        </w:rPr>
        <w:t>pravrtti</w:t>
      </w:r>
      <w:r w:rsidRPr="00C74DE0">
        <w:rPr>
          <w:rFonts w:ascii="Times New Roman" w:hAnsi="Times New Roman" w:cs="Times New Roman"/>
          <w:szCs w:val="24"/>
        </w:rPr>
        <w:t xml:space="preserve"> is used here to mean virtue (</w:t>
      </w:r>
      <w:r w:rsidRPr="00C74DE0">
        <w:rPr>
          <w:rFonts w:ascii="Times New Roman" w:hAnsi="Times New Roman" w:cs="Times New Roman"/>
          <w:i/>
          <w:szCs w:val="24"/>
        </w:rPr>
        <w:t>dharma</w:t>
      </w:r>
      <w:r w:rsidRPr="00C74DE0">
        <w:rPr>
          <w:rFonts w:ascii="Times New Roman" w:hAnsi="Times New Roman" w:cs="Times New Roman"/>
          <w:szCs w:val="24"/>
        </w:rPr>
        <w:t>) and vice (</w:t>
      </w:r>
      <w:r w:rsidRPr="00C74DE0">
        <w:rPr>
          <w:rFonts w:ascii="Times New Roman" w:hAnsi="Times New Roman" w:cs="Times New Roman"/>
          <w:i/>
          <w:szCs w:val="24"/>
        </w:rPr>
        <w:t>adharma</w:t>
      </w:r>
      <w:r w:rsidRPr="00C74DE0">
        <w:rPr>
          <w:rFonts w:ascii="Times New Roman" w:hAnsi="Times New Roman" w:cs="Times New Roman"/>
          <w:szCs w:val="24"/>
        </w:rPr>
        <w:t>). The cause of this motivation is the kinds of evils (</w:t>
      </w:r>
      <w:r w:rsidRPr="00C74DE0">
        <w:rPr>
          <w:rFonts w:ascii="Times New Roman" w:hAnsi="Times New Roman" w:cs="Times New Roman"/>
          <w:i/>
          <w:szCs w:val="24"/>
        </w:rPr>
        <w:t>doṣa</w:t>
      </w:r>
      <w:r w:rsidRPr="00C74DE0">
        <w:rPr>
          <w:rFonts w:ascii="Times New Roman" w:hAnsi="Times New Roman" w:cs="Times New Roman"/>
          <w:szCs w:val="24"/>
        </w:rPr>
        <w:t>) that belong to everybody’s life (i.e.</w:t>
      </w:r>
      <w:r w:rsidR="00341426">
        <w:rPr>
          <w:rFonts w:ascii="Times New Roman" w:hAnsi="Times New Roman" w:cs="Times New Roman"/>
          <w:szCs w:val="24"/>
        </w:rPr>
        <w:t>,</w:t>
      </w:r>
      <w:r w:rsidRPr="00C74DE0">
        <w:rPr>
          <w:rFonts w:ascii="Times New Roman" w:hAnsi="Times New Roman" w:cs="Times New Roman"/>
          <w:szCs w:val="24"/>
        </w:rPr>
        <w:t xml:space="preserve"> </w:t>
      </w:r>
      <w:r w:rsidRPr="00C74DE0">
        <w:rPr>
          <w:rFonts w:ascii="Times New Roman" w:hAnsi="Times New Roman" w:cs="Times New Roman"/>
          <w:i/>
          <w:szCs w:val="24"/>
        </w:rPr>
        <w:t>rāga</w:t>
      </w:r>
      <w:r w:rsidRPr="00C74DE0">
        <w:rPr>
          <w:rFonts w:ascii="Times New Roman" w:hAnsi="Times New Roman" w:cs="Times New Roman"/>
          <w:szCs w:val="24"/>
        </w:rPr>
        <w:t xml:space="preserve"> or attraction, </w:t>
      </w:r>
      <w:bookmarkStart w:id="16" w:name="_Hlk209643786"/>
      <w:r w:rsidRPr="00C74DE0">
        <w:rPr>
          <w:rFonts w:ascii="Times New Roman" w:hAnsi="Times New Roman" w:cs="Times New Roman"/>
          <w:i/>
          <w:szCs w:val="24"/>
        </w:rPr>
        <w:t>dveṣa</w:t>
      </w:r>
      <w:bookmarkEnd w:id="16"/>
      <w:r w:rsidRPr="00C74DE0">
        <w:rPr>
          <w:rFonts w:ascii="Times New Roman" w:hAnsi="Times New Roman" w:cs="Times New Roman"/>
          <w:szCs w:val="24"/>
        </w:rPr>
        <w:t xml:space="preserve"> or repulsion, </w:t>
      </w:r>
      <w:r w:rsidRPr="00C74DE0">
        <w:rPr>
          <w:rFonts w:ascii="Times New Roman" w:hAnsi="Times New Roman" w:cs="Times New Roman"/>
          <w:i/>
          <w:szCs w:val="24"/>
        </w:rPr>
        <w:t>lobha</w:t>
      </w:r>
      <w:r w:rsidRPr="00C74DE0">
        <w:rPr>
          <w:rFonts w:ascii="Times New Roman" w:hAnsi="Times New Roman" w:cs="Times New Roman"/>
          <w:szCs w:val="24"/>
        </w:rPr>
        <w:t xml:space="preserve"> or greed). The occurrences of attraction (</w:t>
      </w:r>
      <w:r w:rsidRPr="00C74DE0">
        <w:rPr>
          <w:rFonts w:ascii="Times New Roman" w:hAnsi="Times New Roman" w:cs="Times New Roman"/>
          <w:i/>
          <w:szCs w:val="24"/>
        </w:rPr>
        <w:t>rāga</w:t>
      </w:r>
      <w:r w:rsidRPr="00C74DE0">
        <w:rPr>
          <w:rFonts w:ascii="Times New Roman" w:hAnsi="Times New Roman" w:cs="Times New Roman"/>
          <w:szCs w:val="24"/>
        </w:rPr>
        <w:t>) are because of the favorable (</w:t>
      </w:r>
      <w:r w:rsidRPr="00C74DE0">
        <w:rPr>
          <w:rFonts w:ascii="Times New Roman" w:hAnsi="Times New Roman" w:cs="Times New Roman"/>
          <w:i/>
          <w:szCs w:val="24"/>
        </w:rPr>
        <w:t>anukula</w:t>
      </w:r>
      <w:r w:rsidRPr="00C74DE0">
        <w:rPr>
          <w:rFonts w:ascii="Times New Roman" w:hAnsi="Times New Roman" w:cs="Times New Roman"/>
          <w:szCs w:val="24"/>
        </w:rPr>
        <w:t>) and repulsion for the unfavorable (</w:t>
      </w:r>
      <w:r w:rsidRPr="00C74DE0">
        <w:rPr>
          <w:rFonts w:ascii="Times New Roman" w:hAnsi="Times New Roman" w:cs="Times New Roman"/>
          <w:i/>
          <w:szCs w:val="24"/>
        </w:rPr>
        <w:t>dveṣa</w:t>
      </w:r>
      <w:r w:rsidRPr="00C74DE0">
        <w:rPr>
          <w:rFonts w:ascii="Times New Roman" w:hAnsi="Times New Roman" w:cs="Times New Roman"/>
          <w:szCs w:val="24"/>
        </w:rPr>
        <w:t>); all these are followed by the false knowledge. That is why one gets into different activities with their own motivations. We have seen that through evil (</w:t>
      </w:r>
      <w:r w:rsidRPr="00C74DE0">
        <w:rPr>
          <w:rFonts w:ascii="Times New Roman" w:hAnsi="Times New Roman" w:cs="Times New Roman"/>
          <w:i/>
          <w:szCs w:val="24"/>
        </w:rPr>
        <w:t>doṣa</w:t>
      </w:r>
      <w:r w:rsidRPr="00C74DE0">
        <w:rPr>
          <w:rFonts w:ascii="Times New Roman" w:hAnsi="Times New Roman" w:cs="Times New Roman"/>
          <w:szCs w:val="24"/>
        </w:rPr>
        <w:t>) one gets into motivation (</w:t>
      </w:r>
      <w:r w:rsidRPr="00C74DE0">
        <w:rPr>
          <w:rFonts w:ascii="Times New Roman" w:hAnsi="Times New Roman" w:cs="Times New Roman"/>
          <w:i/>
          <w:szCs w:val="24"/>
        </w:rPr>
        <w:t>pravrtti</w:t>
      </w:r>
      <w:r w:rsidRPr="00C74DE0">
        <w:rPr>
          <w:rFonts w:ascii="Times New Roman" w:hAnsi="Times New Roman" w:cs="Times New Roman"/>
          <w:szCs w:val="24"/>
        </w:rPr>
        <w:t>) which results in the birth (</w:t>
      </w:r>
      <w:r w:rsidRPr="00C74DE0">
        <w:rPr>
          <w:rFonts w:ascii="Times New Roman" w:hAnsi="Times New Roman" w:cs="Times New Roman"/>
          <w:i/>
          <w:szCs w:val="24"/>
        </w:rPr>
        <w:t>janma</w:t>
      </w:r>
      <w:r w:rsidRPr="00C74DE0">
        <w:rPr>
          <w:rFonts w:ascii="Times New Roman" w:hAnsi="Times New Roman" w:cs="Times New Roman"/>
          <w:szCs w:val="24"/>
        </w:rPr>
        <w:t xml:space="preserve">), though there </w:t>
      </w:r>
      <w:r w:rsidR="00341426">
        <w:rPr>
          <w:rFonts w:ascii="Times New Roman" w:hAnsi="Times New Roman" w:cs="Times New Roman"/>
          <w:szCs w:val="24"/>
        </w:rPr>
        <w:t>are</w:t>
      </w:r>
      <w:r w:rsidRPr="00C74DE0">
        <w:rPr>
          <w:rFonts w:ascii="Times New Roman" w:hAnsi="Times New Roman" w:cs="Times New Roman"/>
          <w:szCs w:val="24"/>
        </w:rPr>
        <w:t xml:space="preserve"> such motivations which result in virtue, for example charity (</w:t>
      </w:r>
      <w:r w:rsidRPr="00C74DE0">
        <w:rPr>
          <w:rFonts w:ascii="Times New Roman" w:hAnsi="Times New Roman" w:cs="Times New Roman"/>
          <w:i/>
          <w:szCs w:val="24"/>
        </w:rPr>
        <w:t>dāna</w:t>
      </w:r>
      <w:r w:rsidRPr="00C74DE0">
        <w:rPr>
          <w:rFonts w:ascii="Times New Roman" w:hAnsi="Times New Roman" w:cs="Times New Roman"/>
          <w:szCs w:val="24"/>
        </w:rPr>
        <w:t>), rescue (</w:t>
      </w:r>
      <w:r w:rsidRPr="00C74DE0">
        <w:rPr>
          <w:rFonts w:ascii="Times New Roman" w:hAnsi="Times New Roman" w:cs="Times New Roman"/>
          <w:i/>
          <w:szCs w:val="24"/>
        </w:rPr>
        <w:t>paritra͂na</w:t>
      </w:r>
      <w:r w:rsidRPr="00C74DE0">
        <w:rPr>
          <w:rFonts w:ascii="Times New Roman" w:hAnsi="Times New Roman" w:cs="Times New Roman"/>
          <w:szCs w:val="24"/>
        </w:rPr>
        <w:t>), service to others (</w:t>
      </w:r>
      <w:r w:rsidRPr="00C74DE0">
        <w:rPr>
          <w:rFonts w:ascii="Times New Roman" w:hAnsi="Times New Roman" w:cs="Times New Roman"/>
          <w:i/>
          <w:szCs w:val="24"/>
        </w:rPr>
        <w:t>paricarana</w:t>
      </w:r>
      <w:r w:rsidRPr="00C74DE0">
        <w:rPr>
          <w:rFonts w:ascii="Times New Roman" w:hAnsi="Times New Roman" w:cs="Times New Roman"/>
          <w:szCs w:val="24"/>
        </w:rPr>
        <w:t xml:space="preserve">). There are also words which lead to virtue (truth or </w:t>
      </w:r>
      <w:r w:rsidRPr="00C74DE0">
        <w:rPr>
          <w:rFonts w:ascii="Times New Roman" w:hAnsi="Times New Roman" w:cs="Times New Roman"/>
          <w:i/>
          <w:szCs w:val="24"/>
        </w:rPr>
        <w:t>satya</w:t>
      </w:r>
      <w:r w:rsidRPr="00C74DE0">
        <w:rPr>
          <w:rFonts w:ascii="Times New Roman" w:hAnsi="Times New Roman" w:cs="Times New Roman"/>
          <w:szCs w:val="24"/>
        </w:rPr>
        <w:t xml:space="preserve">, benevolence or </w:t>
      </w:r>
      <w:r w:rsidRPr="00C74DE0">
        <w:rPr>
          <w:rFonts w:ascii="Times New Roman" w:hAnsi="Times New Roman" w:cs="Times New Roman"/>
          <w:i/>
          <w:szCs w:val="24"/>
        </w:rPr>
        <w:t>hita</w:t>
      </w:r>
      <w:r w:rsidRPr="00C74DE0">
        <w:rPr>
          <w:rFonts w:ascii="Times New Roman" w:hAnsi="Times New Roman" w:cs="Times New Roman"/>
          <w:szCs w:val="24"/>
        </w:rPr>
        <w:t xml:space="preserve">, attractiveness or </w:t>
      </w:r>
      <w:r w:rsidRPr="00C74DE0">
        <w:rPr>
          <w:rFonts w:ascii="Times New Roman" w:hAnsi="Times New Roman" w:cs="Times New Roman"/>
          <w:i/>
          <w:szCs w:val="24"/>
        </w:rPr>
        <w:t>priya</w:t>
      </w:r>
      <w:r w:rsidRPr="00C74DE0">
        <w:rPr>
          <w:rFonts w:ascii="Times New Roman" w:hAnsi="Times New Roman" w:cs="Times New Roman"/>
          <w:szCs w:val="24"/>
        </w:rPr>
        <w:t xml:space="preserve">, the recital of the </w:t>
      </w:r>
      <w:r w:rsidRPr="00C74DE0">
        <w:rPr>
          <w:rFonts w:ascii="Times New Roman" w:hAnsi="Times New Roman" w:cs="Times New Roman"/>
          <w:iCs/>
          <w:szCs w:val="24"/>
        </w:rPr>
        <w:t>Veda</w:t>
      </w:r>
      <w:r w:rsidRPr="00C74DE0">
        <w:rPr>
          <w:rFonts w:ascii="Times New Roman" w:hAnsi="Times New Roman" w:cs="Times New Roman"/>
          <w:szCs w:val="24"/>
        </w:rPr>
        <w:t xml:space="preserve"> or </w:t>
      </w:r>
      <w:r w:rsidRPr="00C74DE0">
        <w:rPr>
          <w:rFonts w:ascii="Times New Roman" w:hAnsi="Times New Roman" w:cs="Times New Roman"/>
          <w:i/>
          <w:szCs w:val="24"/>
        </w:rPr>
        <w:t>svādhyāya</w:t>
      </w:r>
      <w:r w:rsidRPr="00C74DE0">
        <w:rPr>
          <w:rFonts w:ascii="Times New Roman" w:hAnsi="Times New Roman" w:cs="Times New Roman"/>
          <w:szCs w:val="24"/>
        </w:rPr>
        <w:t xml:space="preserve">) and minds </w:t>
      </w:r>
      <w:r w:rsidRPr="00C74DE0">
        <w:rPr>
          <w:rFonts w:ascii="Times New Roman" w:hAnsi="Times New Roman" w:cs="Times New Roman"/>
          <w:szCs w:val="24"/>
        </w:rPr>
        <w:lastRenderedPageBreak/>
        <w:t xml:space="preserve">(mercy or </w:t>
      </w:r>
      <w:r w:rsidRPr="00C74DE0">
        <w:rPr>
          <w:rFonts w:ascii="Times New Roman" w:hAnsi="Times New Roman" w:cs="Times New Roman"/>
          <w:i/>
          <w:szCs w:val="24"/>
        </w:rPr>
        <w:t>dayā</w:t>
      </w:r>
      <w:r w:rsidRPr="00C74DE0">
        <w:rPr>
          <w:rFonts w:ascii="Times New Roman" w:hAnsi="Times New Roman" w:cs="Times New Roman"/>
          <w:szCs w:val="24"/>
        </w:rPr>
        <w:t xml:space="preserve">, detachment or </w:t>
      </w:r>
      <w:r w:rsidRPr="00C74DE0">
        <w:rPr>
          <w:rFonts w:ascii="Times New Roman" w:hAnsi="Times New Roman" w:cs="Times New Roman"/>
          <w:i/>
          <w:szCs w:val="24"/>
        </w:rPr>
        <w:t>asprhā</w:t>
      </w:r>
      <w:r w:rsidRPr="00C74DE0">
        <w:rPr>
          <w:rFonts w:ascii="Times New Roman" w:hAnsi="Times New Roman" w:cs="Times New Roman"/>
          <w:szCs w:val="24"/>
        </w:rPr>
        <w:t xml:space="preserve">, and reverences or </w:t>
      </w:r>
      <w:r w:rsidRPr="00C74DE0">
        <w:rPr>
          <w:rFonts w:ascii="Times New Roman" w:hAnsi="Times New Roman" w:cs="Times New Roman"/>
          <w:i/>
          <w:szCs w:val="24"/>
        </w:rPr>
        <w:t>sraddhā</w:t>
      </w:r>
      <w:r w:rsidRPr="00C74DE0">
        <w:rPr>
          <w:rFonts w:ascii="Times New Roman" w:hAnsi="Times New Roman" w:cs="Times New Roman"/>
          <w:szCs w:val="24"/>
        </w:rPr>
        <w:t>). When false knowledge is eliminated by the knowledge of truth, evils are also removed because of the removal of false knowledge. For the removal of evils, motivation too is required to be removed. Because of the removal of the chain</w:t>
      </w:r>
      <w:r w:rsidR="00D925B9">
        <w:rPr>
          <w:rFonts w:ascii="Times New Roman" w:hAnsi="Times New Roman" w:cs="Times New Roman"/>
          <w:szCs w:val="24"/>
        </w:rPr>
        <w:t>,</w:t>
      </w:r>
      <w:r w:rsidRPr="00C74DE0">
        <w:rPr>
          <w:rFonts w:ascii="Times New Roman" w:hAnsi="Times New Roman" w:cs="Times New Roman"/>
          <w:szCs w:val="24"/>
        </w:rPr>
        <w:t xml:space="preserve"> consequent motivation, birth comes to an end. With this cessation of birth, suffering also disappears. Thus, through this disappearance of suffering</w:t>
      </w:r>
      <w:r w:rsidR="00D925B9">
        <w:rPr>
          <w:rFonts w:ascii="Times New Roman" w:hAnsi="Times New Roman" w:cs="Times New Roman"/>
          <w:szCs w:val="24"/>
        </w:rPr>
        <w:t>,</w:t>
      </w:r>
      <w:r w:rsidRPr="00C74DE0">
        <w:rPr>
          <w:rFonts w:ascii="Times New Roman" w:hAnsi="Times New Roman" w:cs="Times New Roman"/>
          <w:szCs w:val="24"/>
        </w:rPr>
        <w:t xml:space="preserve"> the final liberation or </w:t>
      </w:r>
      <w:r w:rsidRPr="00C74DE0">
        <w:rPr>
          <w:rFonts w:ascii="Times New Roman" w:hAnsi="Times New Roman" w:cs="Times New Roman"/>
          <w:i/>
          <w:szCs w:val="24"/>
        </w:rPr>
        <w:t>niḥśreyasa</w:t>
      </w:r>
      <w:r w:rsidRPr="00C74DE0">
        <w:rPr>
          <w:rFonts w:ascii="Times New Roman" w:hAnsi="Times New Roman" w:cs="Times New Roman"/>
          <w:szCs w:val="24"/>
        </w:rPr>
        <w:t xml:space="preserve"> is attained.</w:t>
      </w:r>
    </w:p>
    <w:p w14:paraId="63BBC747" w14:textId="77777777"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 xml:space="preserve">According to Vātsyāyana, knowledge of truth is the very opposite of false knowledge and, as such, negates the latter. However, one can say that false knowledge is also opposed to the knowledge of truth, and it may also negate the knowledge of truth. In reply to this, Uddyotkara mentioned that though false knowledge is generated first, it is weaker than the knowledge of truth because false knowledge has no basis in reality. By contrast, knowledge of truth has the basis of the reality of an object as well as the instrument of valid knowledge (like scripture). Therefore, false knowledge cannot negate the knowledge of truth. Regarding false knowledge, Gautama subsequently mentioned in </w:t>
      </w:r>
      <w:r w:rsidRPr="00C74DE0">
        <w:rPr>
          <w:rFonts w:ascii="Times New Roman" w:hAnsi="Times New Roman" w:cs="Times New Roman"/>
          <w:i/>
          <w:szCs w:val="24"/>
        </w:rPr>
        <w:t>Nyāya sūtra</w:t>
      </w:r>
      <w:r w:rsidRPr="00C74DE0">
        <w:rPr>
          <w:rFonts w:ascii="Times New Roman" w:hAnsi="Times New Roman" w:cs="Times New Roman"/>
          <w:szCs w:val="24"/>
        </w:rPr>
        <w:t xml:space="preserve"> 1.1.9 that the false knowledge of twelve </w:t>
      </w:r>
      <w:r w:rsidRPr="00C74DE0">
        <w:rPr>
          <w:rFonts w:ascii="Times New Roman" w:hAnsi="Times New Roman" w:cs="Times New Roman"/>
          <w:i/>
          <w:szCs w:val="24"/>
        </w:rPr>
        <w:t>prameya</w:t>
      </w:r>
      <w:r w:rsidRPr="00C74DE0">
        <w:rPr>
          <w:rFonts w:ascii="Times New Roman" w:hAnsi="Times New Roman" w:cs="Times New Roman"/>
          <w:szCs w:val="24"/>
        </w:rPr>
        <w:t xml:space="preserve">-s is the root cause of the worldly existence of individual selves. The true cognition of twelve </w:t>
      </w:r>
      <w:r w:rsidRPr="00C74DE0">
        <w:rPr>
          <w:rFonts w:ascii="Times New Roman" w:hAnsi="Times New Roman" w:cs="Times New Roman"/>
          <w:i/>
          <w:szCs w:val="24"/>
        </w:rPr>
        <w:t>prameya</w:t>
      </w:r>
      <w:r w:rsidRPr="00C74DE0">
        <w:rPr>
          <w:rFonts w:ascii="Times New Roman" w:hAnsi="Times New Roman" w:cs="Times New Roman"/>
          <w:szCs w:val="24"/>
        </w:rPr>
        <w:t>-s essentially leads to the attainment of liberation.</w:t>
      </w:r>
    </w:p>
    <w:p w14:paraId="35D8E495" w14:textId="77777777" w:rsidR="00C74DE0" w:rsidRPr="00C74DE0" w:rsidRDefault="00C74DE0" w:rsidP="00C74DE0">
      <w:pPr>
        <w:spacing w:line="360" w:lineRule="auto"/>
        <w:jc w:val="both"/>
        <w:rPr>
          <w:rFonts w:ascii="Times New Roman" w:hAnsi="Times New Roman" w:cs="Times New Roman"/>
          <w:b/>
          <w:bCs/>
          <w:szCs w:val="24"/>
        </w:rPr>
      </w:pPr>
      <w:r w:rsidRPr="00C74DE0">
        <w:rPr>
          <w:rFonts w:ascii="Times New Roman" w:hAnsi="Times New Roman" w:cs="Times New Roman"/>
          <w:b/>
          <w:bCs/>
          <w:szCs w:val="24"/>
        </w:rPr>
        <w:t>Conclusion</w:t>
      </w:r>
    </w:p>
    <w:p w14:paraId="5CC5F049" w14:textId="1FAB0346" w:rsidR="00C74DE0" w:rsidRPr="00C74DE0" w:rsidRDefault="00C74DE0" w:rsidP="00C74DE0">
      <w:pPr>
        <w:spacing w:line="360" w:lineRule="auto"/>
        <w:jc w:val="both"/>
        <w:rPr>
          <w:rFonts w:ascii="Times New Roman" w:hAnsi="Times New Roman" w:cs="Times New Roman"/>
          <w:szCs w:val="24"/>
        </w:rPr>
      </w:pPr>
      <w:r w:rsidRPr="00C74DE0">
        <w:rPr>
          <w:rFonts w:ascii="Times New Roman" w:hAnsi="Times New Roman" w:cs="Times New Roman"/>
          <w:szCs w:val="24"/>
        </w:rPr>
        <w:t xml:space="preserve">Gautama mentioned that </w:t>
      </w:r>
      <w:r w:rsidR="00D925B9">
        <w:rPr>
          <w:rFonts w:ascii="Times New Roman" w:hAnsi="Times New Roman" w:cs="Times New Roman"/>
          <w:szCs w:val="24"/>
        </w:rPr>
        <w:t xml:space="preserve">the </w:t>
      </w:r>
      <w:r w:rsidRPr="00C74DE0">
        <w:rPr>
          <w:rFonts w:ascii="Times New Roman" w:hAnsi="Times New Roman" w:cs="Times New Roman"/>
          <w:szCs w:val="24"/>
        </w:rPr>
        <w:t xml:space="preserve">sixteen categories aim at liberation. Later on, he accepted the fact that it is not the case that after having the true knowledge of sixteen categories, one cannot get liberation immediately, though it cannot </w:t>
      </w:r>
      <w:r w:rsidR="00D925B9">
        <w:rPr>
          <w:rFonts w:ascii="Times New Roman" w:hAnsi="Times New Roman" w:cs="Times New Roman"/>
          <w:szCs w:val="24"/>
        </w:rPr>
        <w:t>be said</w:t>
      </w:r>
      <w:r w:rsidRPr="00C74DE0">
        <w:rPr>
          <w:rFonts w:ascii="Times New Roman" w:hAnsi="Times New Roman" w:cs="Times New Roman"/>
          <w:szCs w:val="24"/>
        </w:rPr>
        <w:t xml:space="preserve"> that for acquiring liberation, there is no role of </w:t>
      </w:r>
      <w:r w:rsidR="00D925B9">
        <w:rPr>
          <w:rFonts w:ascii="Times New Roman" w:hAnsi="Times New Roman" w:cs="Times New Roman"/>
          <w:szCs w:val="24"/>
        </w:rPr>
        <w:t xml:space="preserve">the </w:t>
      </w:r>
      <w:r w:rsidRPr="00C74DE0">
        <w:rPr>
          <w:rFonts w:ascii="Times New Roman" w:hAnsi="Times New Roman" w:cs="Times New Roman"/>
          <w:szCs w:val="24"/>
        </w:rPr>
        <w:t>sixteen categories. As we have seen before, the knowledge of truth seeks to remove false knowledge (</w:t>
      </w:r>
      <w:r w:rsidRPr="00C74DE0">
        <w:rPr>
          <w:rFonts w:ascii="Times New Roman" w:hAnsi="Times New Roman" w:cs="Times New Roman"/>
          <w:i/>
          <w:szCs w:val="24"/>
        </w:rPr>
        <w:t>mithyajn͂āna</w:t>
      </w:r>
      <w:r w:rsidRPr="00C74DE0">
        <w:rPr>
          <w:rFonts w:ascii="Times New Roman" w:hAnsi="Times New Roman" w:cs="Times New Roman"/>
          <w:szCs w:val="24"/>
        </w:rPr>
        <w:t>). That is why we need to have true knowledge of sixteen categories to remove the false knowledge of the object's reality. For the cessation of everything else, one must remove false knowledge. The cessation of everything else is a state where one gets the ultimate bliss (</w:t>
      </w:r>
      <w:r w:rsidRPr="00C74DE0">
        <w:rPr>
          <w:rFonts w:ascii="Times New Roman" w:hAnsi="Times New Roman" w:cs="Times New Roman"/>
          <w:i/>
          <w:szCs w:val="24"/>
        </w:rPr>
        <w:t>śānta</w:t>
      </w:r>
      <w:r w:rsidRPr="00C74DE0">
        <w:rPr>
          <w:rFonts w:ascii="Times New Roman" w:hAnsi="Times New Roman" w:cs="Times New Roman"/>
          <w:szCs w:val="24"/>
        </w:rPr>
        <w:t>). Through the true cognition of situated objects, this reality moves towards the aim of bliss, where all activities turn to an end. And there would be no possibility of rebirth. Therefore, ‘knowledge of truth’ is the only cause of the cessation of suffering and freedom from all consciousness of suffering.</w:t>
      </w:r>
    </w:p>
    <w:p w14:paraId="616DD309" w14:textId="77777777" w:rsidR="00F871C1" w:rsidRDefault="00F871C1" w:rsidP="00C74DE0">
      <w:pPr>
        <w:pStyle w:val="NormalWeb"/>
        <w:rPr>
          <w:b/>
          <w:bCs/>
        </w:rPr>
      </w:pPr>
      <w:bookmarkStart w:id="17" w:name="_Hlk208242629"/>
    </w:p>
    <w:p w14:paraId="309FF74A" w14:textId="57E759D3" w:rsidR="00C74DE0" w:rsidRPr="00C74DE0" w:rsidRDefault="00C74DE0" w:rsidP="00C74DE0">
      <w:pPr>
        <w:pStyle w:val="NormalWeb"/>
        <w:rPr>
          <w:b/>
          <w:bCs/>
        </w:rPr>
      </w:pPr>
      <w:r w:rsidRPr="00C74DE0">
        <w:rPr>
          <w:b/>
          <w:bCs/>
        </w:rPr>
        <w:lastRenderedPageBreak/>
        <w:t>References</w:t>
      </w:r>
    </w:p>
    <w:p w14:paraId="03DE9266" w14:textId="77777777" w:rsidR="00C74DE0" w:rsidRPr="00C74DE0" w:rsidRDefault="00C74DE0" w:rsidP="00C74DE0">
      <w:pPr>
        <w:pStyle w:val="NormalWeb"/>
      </w:pPr>
      <w:r w:rsidRPr="00C74DE0">
        <w:t xml:space="preserve">Bhattacharyya, S. (1992). </w:t>
      </w:r>
      <w:r w:rsidRPr="00C74DE0">
        <w:rPr>
          <w:rStyle w:val="Emphasis"/>
          <w:rFonts w:eastAsiaTheme="majorEastAsia"/>
        </w:rPr>
        <w:t>Glimpses of Nyāya Vaiśeṣika thought</w:t>
      </w:r>
      <w:r w:rsidRPr="00C74DE0">
        <w:t>. Indian Council of Philosophical Research.</w:t>
      </w:r>
    </w:p>
    <w:p w14:paraId="0CA31598" w14:textId="77777777" w:rsidR="00C74DE0" w:rsidRPr="00C74DE0" w:rsidRDefault="00C74DE0" w:rsidP="00C74DE0">
      <w:pPr>
        <w:pStyle w:val="NormalWeb"/>
      </w:pPr>
      <w:r w:rsidRPr="00C74DE0">
        <w:t xml:space="preserve">Chakrabarti, K. K. (1999). </w:t>
      </w:r>
      <w:r w:rsidRPr="00C74DE0">
        <w:rPr>
          <w:rStyle w:val="Emphasis"/>
          <w:rFonts w:eastAsiaTheme="majorEastAsia"/>
        </w:rPr>
        <w:t>Classical Indian philosophy of mind: The Nyāya dualist tradition</w:t>
      </w:r>
      <w:r w:rsidRPr="00C74DE0">
        <w:t>. State University of New York Press.</w:t>
      </w:r>
    </w:p>
    <w:p w14:paraId="67802715" w14:textId="77777777" w:rsidR="00C74DE0" w:rsidRPr="00C74DE0" w:rsidRDefault="00C74DE0" w:rsidP="00C74DE0">
      <w:pPr>
        <w:pStyle w:val="NormalWeb"/>
      </w:pPr>
      <w:r w:rsidRPr="00C74DE0">
        <w:t xml:space="preserve">Chattopadhyaya, D., &amp; Gangopadhyaya, M. (1967). </w:t>
      </w:r>
      <w:r w:rsidRPr="00C74DE0">
        <w:rPr>
          <w:rStyle w:val="Emphasis"/>
          <w:rFonts w:eastAsiaTheme="majorEastAsia"/>
        </w:rPr>
        <w:t>Nyāya philosophy. Part I</w:t>
      </w:r>
      <w:r w:rsidRPr="00C74DE0">
        <w:t xml:space="preserve"> (Literal translation of Gautama’s Nyāya-sūtra &amp; Vātsyāyana’s Bhāṣya). Indian Studies: Past &amp; Present.</w:t>
      </w:r>
    </w:p>
    <w:p w14:paraId="3A6839AE" w14:textId="77777777" w:rsidR="00C74DE0" w:rsidRPr="00C74DE0" w:rsidRDefault="00C74DE0" w:rsidP="00C74DE0">
      <w:pPr>
        <w:pStyle w:val="NormalWeb"/>
      </w:pPr>
      <w:r w:rsidRPr="00C74DE0">
        <w:t xml:space="preserve">Dasgupta, S. (1922). </w:t>
      </w:r>
      <w:r w:rsidRPr="00C74DE0">
        <w:rPr>
          <w:rStyle w:val="Emphasis"/>
          <w:rFonts w:eastAsiaTheme="majorEastAsia"/>
        </w:rPr>
        <w:t>A history of Indian philosophy</w:t>
      </w:r>
      <w:r w:rsidRPr="00C74DE0">
        <w:t xml:space="preserve"> (Vol. 1). Cambridge University Press.</w:t>
      </w:r>
    </w:p>
    <w:p w14:paraId="4B799503" w14:textId="77777777" w:rsidR="00C74DE0" w:rsidRPr="00C74DE0" w:rsidRDefault="00C74DE0" w:rsidP="00C74DE0">
      <w:pPr>
        <w:pStyle w:val="NormalWeb"/>
      </w:pPr>
      <w:r w:rsidRPr="00C74DE0">
        <w:t xml:space="preserve">Ganeri, J. (2007). </w:t>
      </w:r>
      <w:r w:rsidRPr="00C74DE0">
        <w:rPr>
          <w:rStyle w:val="Emphasis"/>
          <w:rFonts w:eastAsiaTheme="majorEastAsia"/>
        </w:rPr>
        <w:t>The concealed art of the soul: Theories of self and practices of truth in Indian ethics and epistemology</w:t>
      </w:r>
      <w:r w:rsidRPr="00C74DE0">
        <w:t>. Oxford University Press.</w:t>
      </w:r>
    </w:p>
    <w:p w14:paraId="125674E6" w14:textId="77777777" w:rsidR="00C74DE0" w:rsidRPr="00C74DE0" w:rsidRDefault="00C74DE0" w:rsidP="00C74DE0">
      <w:pPr>
        <w:pStyle w:val="NormalWeb"/>
      </w:pPr>
      <w:r w:rsidRPr="00C74DE0">
        <w:t xml:space="preserve">Gangopadhyaya, M., &amp; Chattopadhyaya, D. (1982). </w:t>
      </w:r>
      <w:r w:rsidRPr="00C74DE0">
        <w:rPr>
          <w:rStyle w:val="Emphasis"/>
          <w:rFonts w:eastAsiaTheme="majorEastAsia"/>
        </w:rPr>
        <w:t>Gautama Nyāya-sūtra with Vātsyāyana’s commentary</w:t>
      </w:r>
      <w:r w:rsidRPr="00C74DE0">
        <w:t>. Indian Studies.</w:t>
      </w:r>
    </w:p>
    <w:p w14:paraId="19CF691C" w14:textId="77777777" w:rsidR="00C74DE0" w:rsidRPr="00C74DE0" w:rsidRDefault="00C74DE0" w:rsidP="00C74DE0">
      <w:pPr>
        <w:pStyle w:val="NormalWeb"/>
      </w:pPr>
      <w:r w:rsidRPr="00C74DE0">
        <w:t xml:space="preserve">Gautama. (1915–1919). </w:t>
      </w:r>
      <w:r w:rsidRPr="00C74DE0">
        <w:rPr>
          <w:rStyle w:val="Emphasis"/>
          <w:rFonts w:eastAsiaTheme="majorEastAsia"/>
        </w:rPr>
        <w:t>The Nyāya-sūtras of Gautama: With the Bhāṣya of Vātsyāyana and the Vārttika of Uddyotakara</w:t>
      </w:r>
      <w:r w:rsidRPr="00C74DE0">
        <w:t xml:space="preserve"> (G. Jha, Trans.; Vols. 1–4). Motilal Banarsidass.</w:t>
      </w:r>
    </w:p>
    <w:p w14:paraId="45000A93" w14:textId="77777777" w:rsidR="00C74DE0" w:rsidRPr="00C74DE0" w:rsidRDefault="00C74DE0" w:rsidP="00C74DE0">
      <w:pPr>
        <w:pStyle w:val="NormalWeb"/>
      </w:pPr>
      <w:r w:rsidRPr="00C74DE0">
        <w:t xml:space="preserve">Ingalls, D. H. H. (1951). </w:t>
      </w:r>
      <w:r w:rsidRPr="00C74DE0">
        <w:rPr>
          <w:rStyle w:val="Emphasis"/>
          <w:rFonts w:eastAsiaTheme="majorEastAsia"/>
        </w:rPr>
        <w:t>Materials for the study of Navya-Nyāya logic</w:t>
      </w:r>
      <w:r w:rsidRPr="00C74DE0">
        <w:t>. Harvard University Press.</w:t>
      </w:r>
    </w:p>
    <w:p w14:paraId="2DA2741B" w14:textId="1CE1A5B9" w:rsidR="00C74DE0" w:rsidRPr="00C74DE0" w:rsidRDefault="00C74DE0" w:rsidP="00C74DE0">
      <w:pPr>
        <w:pStyle w:val="NormalWeb"/>
      </w:pPr>
      <w:r w:rsidRPr="00C74DE0">
        <w:t xml:space="preserve">Jha, A. K. (2005). </w:t>
      </w:r>
      <w:r w:rsidRPr="00C74DE0">
        <w:rPr>
          <w:rStyle w:val="Emphasis"/>
          <w:rFonts w:eastAsiaTheme="majorEastAsia"/>
        </w:rPr>
        <w:t>Nyāya philosophy, epistemology</w:t>
      </w:r>
      <w:r w:rsidR="00D925B9">
        <w:rPr>
          <w:rStyle w:val="Emphasis"/>
          <w:rFonts w:eastAsiaTheme="majorEastAsia"/>
        </w:rPr>
        <w:t>,</w:t>
      </w:r>
      <w:r w:rsidRPr="00C74DE0">
        <w:rPr>
          <w:rStyle w:val="Emphasis"/>
          <w:rFonts w:eastAsiaTheme="majorEastAsia"/>
        </w:rPr>
        <w:t xml:space="preserve"> and education</w:t>
      </w:r>
      <w:r w:rsidRPr="00C74DE0">
        <w:t>. Standard Publishers.</w:t>
      </w:r>
    </w:p>
    <w:p w14:paraId="4C4D0D52" w14:textId="77777777" w:rsidR="00C74DE0" w:rsidRPr="00C74DE0" w:rsidRDefault="00C74DE0" w:rsidP="00C74DE0">
      <w:pPr>
        <w:pStyle w:val="NormalWeb"/>
      </w:pPr>
      <w:r w:rsidRPr="00C74DE0">
        <w:t xml:space="preserve">Matilal, B. K. (1968). </w:t>
      </w:r>
      <w:r w:rsidRPr="00C74DE0">
        <w:rPr>
          <w:rStyle w:val="Emphasis"/>
          <w:rFonts w:eastAsiaTheme="majorEastAsia"/>
        </w:rPr>
        <w:t>The Navya-Nyāya doctrine of negation: The semantics and ontology of negative statements in Navya-Nyāya philosophy</w:t>
      </w:r>
      <w:r w:rsidRPr="00C74DE0">
        <w:t>. Harvard University Press.</w:t>
      </w:r>
    </w:p>
    <w:p w14:paraId="4304D0A4" w14:textId="77777777" w:rsidR="00C74DE0" w:rsidRPr="00C74DE0" w:rsidRDefault="00C74DE0" w:rsidP="00C74DE0">
      <w:pPr>
        <w:pStyle w:val="NormalWeb"/>
      </w:pPr>
      <w:r w:rsidRPr="00C74DE0">
        <w:t xml:space="preserve">Phillips, S. H. (1995). </w:t>
      </w:r>
      <w:r w:rsidRPr="00C74DE0">
        <w:rPr>
          <w:rStyle w:val="Emphasis"/>
          <w:rFonts w:eastAsiaTheme="majorEastAsia"/>
        </w:rPr>
        <w:t>Classical Indian metaphysics: Refutations of realism and the emergence of “new logic”</w:t>
      </w:r>
      <w:r w:rsidRPr="00C74DE0">
        <w:t>. Open Court Publishing.</w:t>
      </w:r>
    </w:p>
    <w:p w14:paraId="2AC4F2DB" w14:textId="77777777" w:rsidR="00C74DE0" w:rsidRPr="00C74DE0" w:rsidRDefault="00C74DE0" w:rsidP="00C74DE0">
      <w:pPr>
        <w:pStyle w:val="NormalWeb"/>
      </w:pPr>
      <w:r w:rsidRPr="00C74DE0">
        <w:t xml:space="preserve">Potter, K. H. (1977). </w:t>
      </w:r>
      <w:r w:rsidRPr="00C74DE0">
        <w:rPr>
          <w:rStyle w:val="Emphasis"/>
          <w:rFonts w:eastAsiaTheme="majorEastAsia"/>
        </w:rPr>
        <w:t>Encyclopedia of Indian philosophies: Nyāya-Vaiśeṣika and its continuations</w:t>
      </w:r>
      <w:r w:rsidRPr="00C74DE0">
        <w:t xml:space="preserve"> (Vol. 2). Motilal Banarsidass.</w:t>
      </w:r>
    </w:p>
    <w:p w14:paraId="60A575C7" w14:textId="77777777" w:rsidR="00C74DE0" w:rsidRPr="00C74DE0" w:rsidRDefault="00C74DE0" w:rsidP="00C74DE0">
      <w:pPr>
        <w:pStyle w:val="NormalWeb"/>
      </w:pPr>
      <w:r w:rsidRPr="00C74DE0">
        <w:t xml:space="preserve">Tarkavāgīśa, P. (1981). </w:t>
      </w:r>
      <w:r w:rsidRPr="00C74DE0">
        <w:rPr>
          <w:rStyle w:val="Emphasis"/>
          <w:rFonts w:eastAsiaTheme="majorEastAsia"/>
        </w:rPr>
        <w:t>Nyāya darśan (Gautama sūtra) with Vātsyāyana bhāṣya</w:t>
      </w:r>
      <w:r w:rsidRPr="00C74DE0">
        <w:t xml:space="preserve"> (Trans.). West Bengal State Book Board.</w:t>
      </w:r>
    </w:p>
    <w:p w14:paraId="46A4324D" w14:textId="77777777" w:rsidR="00C74DE0" w:rsidRPr="00C74DE0" w:rsidRDefault="00C74DE0" w:rsidP="00C74DE0">
      <w:pPr>
        <w:pStyle w:val="NormalWeb"/>
      </w:pPr>
      <w:r w:rsidRPr="00C74DE0">
        <w:t xml:space="preserve">Vātsyāyana. (1917–1921). </w:t>
      </w:r>
      <w:r w:rsidRPr="00C74DE0">
        <w:rPr>
          <w:rStyle w:val="Emphasis"/>
          <w:rFonts w:eastAsiaTheme="majorEastAsia"/>
        </w:rPr>
        <w:t>Nyāyadarśana (Gautama sūtra) Bhāṣya</w:t>
      </w:r>
      <w:r w:rsidRPr="00C74DE0">
        <w:t xml:space="preserve"> (P. Tarkavāgīśa, Trans. &amp; Expl.). Bhārata-Mihira Press.</w:t>
      </w:r>
    </w:p>
    <w:p w14:paraId="242A9A1A" w14:textId="77777777" w:rsidR="00C74DE0" w:rsidRDefault="00C74DE0" w:rsidP="00C74DE0">
      <w:pPr>
        <w:pStyle w:val="NormalWeb"/>
      </w:pPr>
      <w:r w:rsidRPr="00C74DE0">
        <w:t xml:space="preserve">Vidyabhusana, S. C. (1971). </w:t>
      </w:r>
      <w:r w:rsidRPr="00C74DE0">
        <w:rPr>
          <w:rStyle w:val="Emphasis"/>
          <w:rFonts w:eastAsiaTheme="majorEastAsia"/>
        </w:rPr>
        <w:t>A history of Indian logic: Ancient, mediaeval and modern schools</w:t>
      </w:r>
      <w:r w:rsidRPr="00C74DE0">
        <w:t xml:space="preserve"> (1st ed., 1920). Motilal Banarsidass.</w:t>
      </w:r>
      <w:bookmarkEnd w:id="17"/>
    </w:p>
    <w:p w14:paraId="6C2F12A6" w14:textId="6EBDE704" w:rsidR="00FF7DC0" w:rsidRPr="00C74DE0" w:rsidRDefault="00640F77" w:rsidP="006B6F29">
      <w:pPr>
        <w:pStyle w:val="NormalWeb"/>
        <w:jc w:val="center"/>
      </w:pPr>
      <w:r>
        <w:t>***</w:t>
      </w:r>
    </w:p>
    <w:sectPr w:rsidR="00FF7DC0" w:rsidRPr="00C74DE0" w:rsidSect="005551B1">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DFD0A" w14:textId="77777777" w:rsidR="00B7129E" w:rsidRDefault="00B7129E" w:rsidP="007B7D6E">
      <w:pPr>
        <w:spacing w:after="0" w:line="240" w:lineRule="auto"/>
      </w:pPr>
      <w:r>
        <w:separator/>
      </w:r>
    </w:p>
  </w:endnote>
  <w:endnote w:type="continuationSeparator" w:id="0">
    <w:p w14:paraId="5FC69BB9" w14:textId="77777777" w:rsidR="00B7129E" w:rsidRDefault="00B7129E" w:rsidP="007B7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02BFA" w14:textId="0D53BA0F" w:rsidR="00EF14CE" w:rsidRPr="00205251" w:rsidRDefault="00EF14CE">
    <w:pPr>
      <w:pStyle w:val="Footer"/>
      <w:rPr>
        <w:rFonts w:ascii="Times New Roman" w:hAnsi="Times New Roman" w:cs="Times New Roman"/>
        <w:i/>
        <w:iCs/>
        <w:szCs w:val="32"/>
        <w:lang w:val="en-US"/>
      </w:rPr>
    </w:pPr>
    <w:r w:rsidRPr="00205251">
      <w:rPr>
        <w:rFonts w:ascii="Times New Roman" w:hAnsi="Times New Roman" w:cs="Times New Roman"/>
        <w:i/>
        <w:iCs/>
        <w:szCs w:val="32"/>
        <w:lang w:val="en-US"/>
      </w:rPr>
      <w:t>NBPAJAHS</w:t>
    </w:r>
    <w:r w:rsidR="00205251" w:rsidRPr="00205251">
      <w:rPr>
        <w:rFonts w:ascii="Times New Roman" w:hAnsi="Times New Roman" w:cs="Times New Roman"/>
        <w:i/>
        <w:iCs/>
        <w:szCs w:val="32"/>
        <w:lang w:val="en-US"/>
      </w:rPr>
      <w:t xml:space="preserve">, </w:t>
    </w:r>
    <w:r w:rsidRPr="00205251">
      <w:rPr>
        <w:rFonts w:ascii="Times New Roman" w:hAnsi="Times New Roman" w:cs="Times New Roman"/>
        <w:i/>
        <w:iCs/>
        <w:szCs w:val="32"/>
        <w:lang w:val="en-US"/>
      </w:rPr>
      <w:t>1(2)</w:t>
    </w:r>
    <w:r w:rsidR="00205251" w:rsidRPr="00205251">
      <w:rPr>
        <w:rFonts w:ascii="Times New Roman" w:hAnsi="Times New Roman" w:cs="Times New Roman"/>
        <w:i/>
        <w:iCs/>
        <w:szCs w:val="32"/>
        <w:lang w:val="en-US"/>
      </w:rPr>
      <w:t xml:space="preserve">, </w:t>
    </w:r>
    <w:r w:rsidR="001F3E74">
      <w:rPr>
        <w:rFonts w:ascii="Times New Roman" w:hAnsi="Times New Roman" w:cs="Times New Roman"/>
        <w:i/>
        <w:iCs/>
        <w:szCs w:val="32"/>
        <w:lang w:val="en-US"/>
      </w:rPr>
      <w:t>2</w:t>
    </w:r>
    <w:r w:rsidR="002A6AF7">
      <w:rPr>
        <w:rFonts w:ascii="Times New Roman" w:hAnsi="Times New Roman" w:cs="Times New Roman"/>
        <w:i/>
        <w:iCs/>
        <w:szCs w:val="32"/>
        <w:lang w:val="en-US"/>
      </w:rPr>
      <w:t>7-44</w:t>
    </w:r>
  </w:p>
  <w:p w14:paraId="70F3FB92" w14:textId="77777777" w:rsidR="00EF14CE" w:rsidRPr="00D42B42" w:rsidRDefault="00EF14CE">
    <w:pPr>
      <w:pStyle w:val="Footer"/>
      <w:rPr>
        <w:rFonts w:ascii="Times New Roman" w:hAnsi="Times New Roman" w:cs="Times New Roman"/>
        <w:szCs w:val="32"/>
        <w:lang w:val="en-US"/>
      </w:rPr>
    </w:pPr>
  </w:p>
  <w:p w14:paraId="5B0703A7" w14:textId="77777777" w:rsidR="00EF14CE" w:rsidRPr="00D42B42" w:rsidRDefault="00EF14CE">
    <w:pPr>
      <w:pStyle w:val="Footer"/>
      <w:rPr>
        <w:sz w:val="28"/>
        <w:szCs w:val="32"/>
        <w:lang w:val="en-US"/>
      </w:rPr>
    </w:pPr>
  </w:p>
  <w:p w14:paraId="372401FF" w14:textId="77777777" w:rsidR="00EF14CE" w:rsidRPr="007B7D6E" w:rsidRDefault="00EF14CE">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094242"/>
      <w:docPartObj>
        <w:docPartGallery w:val="Page Numbers (Bottom of Page)"/>
        <w:docPartUnique/>
      </w:docPartObj>
    </w:sdtPr>
    <w:sdtEndPr>
      <w:rPr>
        <w:noProof/>
      </w:rPr>
    </w:sdtEndPr>
    <w:sdtContent>
      <w:p w14:paraId="54BE755C" w14:textId="77777777" w:rsidR="00FF7DC0" w:rsidRDefault="00FF7DC0" w:rsidP="00FF7DC0">
        <w:pPr>
          <w:pStyle w:val="Footer"/>
        </w:pPr>
      </w:p>
      <w:p w14:paraId="229E9897" w14:textId="77777777" w:rsidR="00FF7DC0" w:rsidRDefault="00FF7DC0" w:rsidP="00FF7DC0">
        <w:pPr>
          <w:pStyle w:val="Footer"/>
        </w:pPr>
      </w:p>
      <w:p w14:paraId="57D8C629" w14:textId="37CF312F" w:rsidR="00FF7DC0" w:rsidRPr="00D42B42" w:rsidRDefault="00FF7DC0" w:rsidP="00FF7DC0">
        <w:pPr>
          <w:pStyle w:val="Footer"/>
          <w:rPr>
            <w:rFonts w:ascii="Times New Roman" w:hAnsi="Times New Roman" w:cs="Times New Roman"/>
            <w:szCs w:val="32"/>
            <w:lang w:val="en-US"/>
          </w:rPr>
        </w:pPr>
        <w:r w:rsidRPr="00D42B42">
          <w:rPr>
            <w:rFonts w:ascii="Times New Roman" w:hAnsi="Times New Roman" w:cs="Times New Roman"/>
            <w:szCs w:val="32"/>
            <w:lang w:val="en-US"/>
          </w:rPr>
          <w:t>NBPA</w:t>
        </w:r>
        <w:r>
          <w:rPr>
            <w:rFonts w:ascii="Times New Roman" w:hAnsi="Times New Roman" w:cs="Times New Roman"/>
            <w:szCs w:val="32"/>
            <w:lang w:val="en-US"/>
          </w:rPr>
          <w:t>J</w:t>
        </w:r>
        <w:r w:rsidRPr="00D42B42">
          <w:rPr>
            <w:rFonts w:ascii="Times New Roman" w:hAnsi="Times New Roman" w:cs="Times New Roman"/>
            <w:szCs w:val="32"/>
            <w:lang w:val="en-US"/>
          </w:rPr>
          <w:t xml:space="preserve">AHS/ </w:t>
        </w:r>
        <w:r>
          <w:rPr>
            <w:rFonts w:ascii="Times New Roman" w:hAnsi="Times New Roman" w:cs="Times New Roman"/>
            <w:szCs w:val="32"/>
            <w:lang w:val="en-US"/>
          </w:rPr>
          <w:t>1(2)</w:t>
        </w:r>
        <w:r w:rsidRPr="00D42B42">
          <w:rPr>
            <w:rFonts w:ascii="Times New Roman" w:hAnsi="Times New Roman" w:cs="Times New Roman"/>
            <w:szCs w:val="32"/>
            <w:lang w:val="en-US"/>
          </w:rPr>
          <w:t xml:space="preserve"> (Page. 000 to 000)</w:t>
        </w:r>
      </w:p>
      <w:p w14:paraId="4E759A44" w14:textId="3236F880" w:rsidR="00FF7DC0" w:rsidRDefault="00FF7D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09DF5C" w14:textId="77777777" w:rsidR="007B7D6E" w:rsidRPr="007B7D6E" w:rsidRDefault="007B7D6E">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D795" w14:textId="7137574E" w:rsidR="00934216" w:rsidRPr="00205251" w:rsidRDefault="00934216" w:rsidP="00934216">
    <w:pPr>
      <w:pStyle w:val="Footer"/>
      <w:rPr>
        <w:rFonts w:ascii="Times New Roman" w:hAnsi="Times New Roman" w:cs="Times New Roman"/>
        <w:i/>
        <w:iCs/>
        <w:szCs w:val="32"/>
        <w:lang w:val="en-US"/>
      </w:rPr>
    </w:pPr>
    <w:r w:rsidRPr="00205251">
      <w:rPr>
        <w:rFonts w:ascii="Times New Roman" w:hAnsi="Times New Roman" w:cs="Times New Roman"/>
        <w:i/>
        <w:iCs/>
        <w:szCs w:val="32"/>
        <w:lang w:val="en-US"/>
      </w:rPr>
      <w:t xml:space="preserve">NBPAJAHS, 1(2), </w:t>
    </w:r>
    <w:r w:rsidR="002A6AF7">
      <w:rPr>
        <w:rFonts w:ascii="Times New Roman" w:hAnsi="Times New Roman" w:cs="Times New Roman"/>
        <w:i/>
        <w:iCs/>
        <w:szCs w:val="32"/>
        <w:lang w:val="en-US"/>
      </w:rPr>
      <w:t>27-44</w:t>
    </w:r>
  </w:p>
  <w:sdt>
    <w:sdtPr>
      <w:id w:val="2004467197"/>
      <w:docPartObj>
        <w:docPartGallery w:val="Page Numbers (Bottom of Page)"/>
        <w:docPartUnique/>
      </w:docPartObj>
    </w:sdtPr>
    <w:sdtEndPr>
      <w:rPr>
        <w:noProof/>
      </w:rPr>
    </w:sdtEndPr>
    <w:sdtContent>
      <w:p w14:paraId="1DC5060D" w14:textId="2AF95EF8" w:rsidR="00934216" w:rsidRDefault="009342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6A3D46" w14:textId="77777777" w:rsidR="005551B1" w:rsidRDefault="00555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F63B4" w14:textId="77777777" w:rsidR="00B7129E" w:rsidRDefault="00B7129E" w:rsidP="007B7D6E">
      <w:pPr>
        <w:spacing w:after="0" w:line="240" w:lineRule="auto"/>
      </w:pPr>
      <w:r>
        <w:separator/>
      </w:r>
    </w:p>
  </w:footnote>
  <w:footnote w:type="continuationSeparator" w:id="0">
    <w:p w14:paraId="74642718" w14:textId="77777777" w:rsidR="00B7129E" w:rsidRDefault="00B7129E" w:rsidP="007B7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94436" w14:textId="58FBA88B" w:rsidR="00C307FE" w:rsidRPr="00407531" w:rsidRDefault="00407531" w:rsidP="00407531">
    <w:pPr>
      <w:pStyle w:val="NormalWeb"/>
      <w:spacing w:line="360" w:lineRule="auto"/>
      <w:jc w:val="right"/>
      <w:rPr>
        <w:i/>
        <w:iCs/>
        <w:sz w:val="22"/>
        <w:szCs w:val="22"/>
      </w:rPr>
    </w:pPr>
    <w:r w:rsidRPr="00407531">
      <w:rPr>
        <w:i/>
        <w:iCs/>
        <w:sz w:val="22"/>
        <w:szCs w:val="22"/>
      </w:rPr>
      <w:t>From Knowledge to Emancipation: Vision of Nyāya Philosophy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06315"/>
    <w:multiLevelType w:val="hybridMultilevel"/>
    <w:tmpl w:val="C1CE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A21F43"/>
    <w:multiLevelType w:val="hybridMultilevel"/>
    <w:tmpl w:val="3668C1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A8F1A2D"/>
    <w:multiLevelType w:val="hybridMultilevel"/>
    <w:tmpl w:val="522CE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71B22"/>
    <w:multiLevelType w:val="multilevel"/>
    <w:tmpl w:val="2258F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F334C7"/>
    <w:multiLevelType w:val="hybridMultilevel"/>
    <w:tmpl w:val="28B86C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5277F60"/>
    <w:multiLevelType w:val="hybridMultilevel"/>
    <w:tmpl w:val="DFC64A6C"/>
    <w:lvl w:ilvl="0" w:tplc="08B41FE4">
      <w:start w:val="1"/>
      <w:numFmt w:val="decimal"/>
      <w:lvlText w:val="%1."/>
      <w:lvlJc w:val="left"/>
      <w:pPr>
        <w:ind w:left="720" w:hanging="360"/>
      </w:pPr>
      <w:rPr>
        <w:rFonts w:hint="default"/>
        <w:b w:val="0"/>
        <w:sz w:val="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4863F69"/>
    <w:multiLevelType w:val="multilevel"/>
    <w:tmpl w:val="B7E0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CA00E5"/>
    <w:multiLevelType w:val="multilevel"/>
    <w:tmpl w:val="1062D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A7143F3"/>
    <w:multiLevelType w:val="hybridMultilevel"/>
    <w:tmpl w:val="DEECB7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C542E9E"/>
    <w:multiLevelType w:val="hybridMultilevel"/>
    <w:tmpl w:val="DFFC5684"/>
    <w:lvl w:ilvl="0" w:tplc="E10E75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6B796B"/>
    <w:multiLevelType w:val="hybridMultilevel"/>
    <w:tmpl w:val="B9D81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1030889">
    <w:abstractNumId w:val="1"/>
  </w:num>
  <w:num w:numId="2" w16cid:durableId="1304391032">
    <w:abstractNumId w:val="8"/>
  </w:num>
  <w:num w:numId="3" w16cid:durableId="99567735">
    <w:abstractNumId w:val="4"/>
  </w:num>
  <w:num w:numId="4" w16cid:durableId="127212312">
    <w:abstractNumId w:val="0"/>
  </w:num>
  <w:num w:numId="5" w16cid:durableId="1979988129">
    <w:abstractNumId w:val="3"/>
  </w:num>
  <w:num w:numId="6" w16cid:durableId="1439520354">
    <w:abstractNumId w:val="6"/>
  </w:num>
  <w:num w:numId="7" w16cid:durableId="856194802">
    <w:abstractNumId w:val="10"/>
  </w:num>
  <w:num w:numId="8" w16cid:durableId="312950797">
    <w:abstractNumId w:val="9"/>
  </w:num>
  <w:num w:numId="9" w16cid:durableId="1240022404">
    <w:abstractNumId w:val="2"/>
  </w:num>
  <w:num w:numId="10" w16cid:durableId="1219704068">
    <w:abstractNumId w:val="7"/>
  </w:num>
  <w:num w:numId="11" w16cid:durableId="12316238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D5A"/>
    <w:rsid w:val="00063158"/>
    <w:rsid w:val="00095E88"/>
    <w:rsid w:val="000A1D2E"/>
    <w:rsid w:val="000F5B23"/>
    <w:rsid w:val="00141C54"/>
    <w:rsid w:val="001E5ED7"/>
    <w:rsid w:val="001F3E74"/>
    <w:rsid w:val="00205251"/>
    <w:rsid w:val="002136E1"/>
    <w:rsid w:val="00227593"/>
    <w:rsid w:val="00235C18"/>
    <w:rsid w:val="00287B51"/>
    <w:rsid w:val="002A065E"/>
    <w:rsid w:val="002A6AF7"/>
    <w:rsid w:val="002C35AC"/>
    <w:rsid w:val="00300913"/>
    <w:rsid w:val="00336227"/>
    <w:rsid w:val="00341426"/>
    <w:rsid w:val="00347B78"/>
    <w:rsid w:val="0036192B"/>
    <w:rsid w:val="00384D66"/>
    <w:rsid w:val="003B6997"/>
    <w:rsid w:val="004073EB"/>
    <w:rsid w:val="00407531"/>
    <w:rsid w:val="0042551B"/>
    <w:rsid w:val="00445429"/>
    <w:rsid w:val="004B5D7A"/>
    <w:rsid w:val="005229E6"/>
    <w:rsid w:val="0052565F"/>
    <w:rsid w:val="0053375C"/>
    <w:rsid w:val="005551B1"/>
    <w:rsid w:val="005A6403"/>
    <w:rsid w:val="005C05FE"/>
    <w:rsid w:val="005D5005"/>
    <w:rsid w:val="006010E9"/>
    <w:rsid w:val="00640F77"/>
    <w:rsid w:val="006B4C68"/>
    <w:rsid w:val="006B6F29"/>
    <w:rsid w:val="006D03A4"/>
    <w:rsid w:val="006E347F"/>
    <w:rsid w:val="007077F4"/>
    <w:rsid w:val="00787C47"/>
    <w:rsid w:val="007A287D"/>
    <w:rsid w:val="007B72C8"/>
    <w:rsid w:val="007B7D6E"/>
    <w:rsid w:val="008027EA"/>
    <w:rsid w:val="00823748"/>
    <w:rsid w:val="0086262D"/>
    <w:rsid w:val="008771CD"/>
    <w:rsid w:val="008A343D"/>
    <w:rsid w:val="00934216"/>
    <w:rsid w:val="00981915"/>
    <w:rsid w:val="00985139"/>
    <w:rsid w:val="009B58FA"/>
    <w:rsid w:val="009C7464"/>
    <w:rsid w:val="009F7D89"/>
    <w:rsid w:val="00A4140B"/>
    <w:rsid w:val="00A6316F"/>
    <w:rsid w:val="00A6413A"/>
    <w:rsid w:val="00AA4C6D"/>
    <w:rsid w:val="00AA7307"/>
    <w:rsid w:val="00AB4E34"/>
    <w:rsid w:val="00AD0CAB"/>
    <w:rsid w:val="00AD6261"/>
    <w:rsid w:val="00B21BA9"/>
    <w:rsid w:val="00B47BEA"/>
    <w:rsid w:val="00B51D5A"/>
    <w:rsid w:val="00B7129E"/>
    <w:rsid w:val="00BB42B6"/>
    <w:rsid w:val="00BD442C"/>
    <w:rsid w:val="00C307FE"/>
    <w:rsid w:val="00C32244"/>
    <w:rsid w:val="00C65865"/>
    <w:rsid w:val="00C74DE0"/>
    <w:rsid w:val="00CB0C22"/>
    <w:rsid w:val="00D1172D"/>
    <w:rsid w:val="00D3483F"/>
    <w:rsid w:val="00D36DD4"/>
    <w:rsid w:val="00D42B42"/>
    <w:rsid w:val="00D57F5D"/>
    <w:rsid w:val="00D73C53"/>
    <w:rsid w:val="00D925B9"/>
    <w:rsid w:val="00DA65EE"/>
    <w:rsid w:val="00DC3808"/>
    <w:rsid w:val="00DD023C"/>
    <w:rsid w:val="00DE1D1F"/>
    <w:rsid w:val="00E045A4"/>
    <w:rsid w:val="00E2170E"/>
    <w:rsid w:val="00E36321"/>
    <w:rsid w:val="00E91823"/>
    <w:rsid w:val="00ED09BD"/>
    <w:rsid w:val="00EF14CE"/>
    <w:rsid w:val="00F01752"/>
    <w:rsid w:val="00F05BBB"/>
    <w:rsid w:val="00F25C7F"/>
    <w:rsid w:val="00F430A5"/>
    <w:rsid w:val="00F45A10"/>
    <w:rsid w:val="00F57F77"/>
    <w:rsid w:val="00F871C1"/>
    <w:rsid w:val="00FC4726"/>
    <w:rsid w:val="00FF7DC0"/>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3D207B"/>
  <w15:chartTrackingRefBased/>
  <w15:docId w15:val="{E6127E98-557B-4FBA-8B37-ED0B16EBF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IN"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1D5A"/>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unhideWhenUsed/>
    <w:qFormat/>
    <w:rsid w:val="00B51D5A"/>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B51D5A"/>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B51D5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51D5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1D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1D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1D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1D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D5A"/>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rsid w:val="00B51D5A"/>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B51D5A"/>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B51D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51D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1D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1D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1D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1D5A"/>
    <w:rPr>
      <w:rFonts w:eastAsiaTheme="majorEastAsia" w:cstheme="majorBidi"/>
      <w:color w:val="272727" w:themeColor="text1" w:themeTint="D8"/>
    </w:rPr>
  </w:style>
  <w:style w:type="paragraph" w:styleId="Title">
    <w:name w:val="Title"/>
    <w:basedOn w:val="Normal"/>
    <w:next w:val="Normal"/>
    <w:link w:val="TitleChar"/>
    <w:uiPriority w:val="10"/>
    <w:qFormat/>
    <w:rsid w:val="00B51D5A"/>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B51D5A"/>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B51D5A"/>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B51D5A"/>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B51D5A"/>
    <w:pPr>
      <w:spacing w:before="160"/>
      <w:jc w:val="center"/>
    </w:pPr>
    <w:rPr>
      <w:i/>
      <w:iCs/>
      <w:color w:val="404040" w:themeColor="text1" w:themeTint="BF"/>
    </w:rPr>
  </w:style>
  <w:style w:type="character" w:customStyle="1" w:styleId="QuoteChar">
    <w:name w:val="Quote Char"/>
    <w:basedOn w:val="DefaultParagraphFont"/>
    <w:link w:val="Quote"/>
    <w:uiPriority w:val="29"/>
    <w:rsid w:val="00B51D5A"/>
    <w:rPr>
      <w:i/>
      <w:iCs/>
      <w:color w:val="404040" w:themeColor="text1" w:themeTint="BF"/>
    </w:rPr>
  </w:style>
  <w:style w:type="paragraph" w:styleId="ListParagraph">
    <w:name w:val="List Paragraph"/>
    <w:basedOn w:val="Normal"/>
    <w:uiPriority w:val="34"/>
    <w:qFormat/>
    <w:rsid w:val="00B51D5A"/>
    <w:pPr>
      <w:ind w:left="720"/>
      <w:contextualSpacing/>
    </w:pPr>
  </w:style>
  <w:style w:type="character" w:styleId="IntenseEmphasis">
    <w:name w:val="Intense Emphasis"/>
    <w:basedOn w:val="DefaultParagraphFont"/>
    <w:uiPriority w:val="21"/>
    <w:qFormat/>
    <w:rsid w:val="00B51D5A"/>
    <w:rPr>
      <w:i/>
      <w:iCs/>
      <w:color w:val="2F5496" w:themeColor="accent1" w:themeShade="BF"/>
    </w:rPr>
  </w:style>
  <w:style w:type="paragraph" w:styleId="IntenseQuote">
    <w:name w:val="Intense Quote"/>
    <w:basedOn w:val="Normal"/>
    <w:next w:val="Normal"/>
    <w:link w:val="IntenseQuoteChar"/>
    <w:uiPriority w:val="30"/>
    <w:qFormat/>
    <w:rsid w:val="00B51D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1D5A"/>
    <w:rPr>
      <w:i/>
      <w:iCs/>
      <w:color w:val="2F5496" w:themeColor="accent1" w:themeShade="BF"/>
    </w:rPr>
  </w:style>
  <w:style w:type="character" w:styleId="IntenseReference">
    <w:name w:val="Intense Reference"/>
    <w:basedOn w:val="DefaultParagraphFont"/>
    <w:uiPriority w:val="32"/>
    <w:qFormat/>
    <w:rsid w:val="00B51D5A"/>
    <w:rPr>
      <w:b/>
      <w:bCs/>
      <w:smallCaps/>
      <w:color w:val="2F5496" w:themeColor="accent1" w:themeShade="BF"/>
      <w:spacing w:val="5"/>
    </w:rPr>
  </w:style>
  <w:style w:type="paragraph" w:styleId="NoSpacing">
    <w:name w:val="No Spacing"/>
    <w:uiPriority w:val="1"/>
    <w:qFormat/>
    <w:rsid w:val="007077F4"/>
    <w:pPr>
      <w:spacing w:after="0" w:line="240" w:lineRule="auto"/>
    </w:pPr>
  </w:style>
  <w:style w:type="paragraph" w:styleId="Header">
    <w:name w:val="header"/>
    <w:basedOn w:val="Normal"/>
    <w:link w:val="HeaderChar"/>
    <w:uiPriority w:val="99"/>
    <w:unhideWhenUsed/>
    <w:rsid w:val="007B7D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7D6E"/>
  </w:style>
  <w:style w:type="paragraph" w:styleId="Footer">
    <w:name w:val="footer"/>
    <w:basedOn w:val="Normal"/>
    <w:link w:val="FooterChar"/>
    <w:uiPriority w:val="99"/>
    <w:unhideWhenUsed/>
    <w:rsid w:val="007B7D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7D6E"/>
  </w:style>
  <w:style w:type="paragraph" w:customStyle="1" w:styleId="Default">
    <w:name w:val="Default"/>
    <w:rsid w:val="00E2170E"/>
    <w:pPr>
      <w:autoSpaceDE w:val="0"/>
      <w:autoSpaceDN w:val="0"/>
      <w:adjustRightInd w:val="0"/>
      <w:spacing w:after="0" w:line="240" w:lineRule="auto"/>
    </w:pPr>
    <w:rPr>
      <w:rFonts w:ascii="Times New Roman" w:eastAsiaTheme="minorHAnsi" w:hAnsi="Times New Roman" w:cs="Times New Roman"/>
      <w:color w:val="000000"/>
      <w:kern w:val="0"/>
      <w:szCs w:val="24"/>
      <w:lang w:eastAsia="en-US" w:bidi="ar-SA"/>
      <w14:ligatures w14:val="none"/>
    </w:rPr>
  </w:style>
  <w:style w:type="paragraph" w:styleId="Bibliography">
    <w:name w:val="Bibliography"/>
    <w:basedOn w:val="Normal"/>
    <w:next w:val="Normal"/>
    <w:uiPriority w:val="37"/>
    <w:unhideWhenUsed/>
    <w:rsid w:val="00AA7307"/>
    <w:pPr>
      <w:spacing w:line="256" w:lineRule="auto"/>
    </w:pPr>
    <w:rPr>
      <w:rFonts w:eastAsiaTheme="minorHAnsi"/>
      <w:sz w:val="22"/>
      <w:szCs w:val="22"/>
      <w:lang w:eastAsia="en-US" w:bidi="ar-SA"/>
      <w14:ligatures w14:val="none"/>
    </w:rPr>
  </w:style>
  <w:style w:type="character" w:styleId="Hyperlink">
    <w:name w:val="Hyperlink"/>
    <w:basedOn w:val="DefaultParagraphFont"/>
    <w:uiPriority w:val="99"/>
    <w:unhideWhenUsed/>
    <w:rsid w:val="00C65865"/>
    <w:rPr>
      <w:color w:val="0563C1" w:themeColor="hyperlink"/>
      <w:u w:val="single"/>
    </w:rPr>
  </w:style>
  <w:style w:type="character" w:styleId="UnresolvedMention">
    <w:name w:val="Unresolved Mention"/>
    <w:basedOn w:val="DefaultParagraphFont"/>
    <w:uiPriority w:val="99"/>
    <w:semiHidden/>
    <w:unhideWhenUsed/>
    <w:rsid w:val="00C65865"/>
    <w:rPr>
      <w:color w:val="605E5C"/>
      <w:shd w:val="clear" w:color="auto" w:fill="E1DFDD"/>
    </w:rPr>
  </w:style>
  <w:style w:type="paragraph" w:styleId="NormalWeb">
    <w:name w:val="Normal (Web)"/>
    <w:basedOn w:val="Normal"/>
    <w:uiPriority w:val="99"/>
    <w:unhideWhenUsed/>
    <w:rsid w:val="00AB4E34"/>
    <w:pPr>
      <w:spacing w:before="100" w:beforeAutospacing="1" w:after="100" w:afterAutospacing="1" w:line="240" w:lineRule="auto"/>
    </w:pPr>
    <w:rPr>
      <w:rFonts w:ascii="Times New Roman" w:eastAsia="Times New Roman" w:hAnsi="Times New Roman" w:cs="Times New Roman"/>
      <w:kern w:val="0"/>
      <w:szCs w:val="24"/>
      <w:lang w:val="en-US" w:eastAsia="en-US" w:bidi="ar-SA"/>
      <w14:ligatures w14:val="none"/>
    </w:rPr>
  </w:style>
  <w:style w:type="character" w:styleId="Strong">
    <w:name w:val="Strong"/>
    <w:basedOn w:val="DefaultParagraphFont"/>
    <w:uiPriority w:val="22"/>
    <w:qFormat/>
    <w:rsid w:val="00AB4E34"/>
    <w:rPr>
      <w:b/>
      <w:bCs/>
    </w:rPr>
  </w:style>
  <w:style w:type="table" w:styleId="TableGrid">
    <w:name w:val="Table Grid"/>
    <w:basedOn w:val="TableNormal"/>
    <w:uiPriority w:val="39"/>
    <w:rsid w:val="00AB4E34"/>
    <w:pPr>
      <w:spacing w:after="0" w:line="240" w:lineRule="auto"/>
      <w:ind w:right="1440"/>
      <w:jc w:val="both"/>
    </w:pPr>
    <w:rPr>
      <w:rFonts w:eastAsiaTheme="minorHAnsi"/>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5551B1"/>
    <w:rPr>
      <w:i/>
      <w:iCs/>
    </w:rPr>
  </w:style>
  <w:style w:type="paragraph" w:styleId="FootnoteText">
    <w:name w:val="footnote text"/>
    <w:basedOn w:val="Normal"/>
    <w:link w:val="FootnoteTextChar"/>
    <w:uiPriority w:val="99"/>
    <w:semiHidden/>
    <w:unhideWhenUsed/>
    <w:rsid w:val="005551B1"/>
    <w:pPr>
      <w:spacing w:after="0" w:line="240" w:lineRule="auto"/>
    </w:pPr>
    <w:rPr>
      <w:rFonts w:ascii="Calibri" w:eastAsia="Calibri" w:hAnsi="Calibri" w:cs="Times New Roman"/>
      <w:kern w:val="0"/>
      <w:sz w:val="20"/>
      <w:szCs w:val="20"/>
      <w:lang w:val="en-US" w:eastAsia="en-US" w:bidi="ar-SA"/>
      <w14:ligatures w14:val="none"/>
    </w:rPr>
  </w:style>
  <w:style w:type="character" w:customStyle="1" w:styleId="FootnoteTextChar">
    <w:name w:val="Footnote Text Char"/>
    <w:basedOn w:val="DefaultParagraphFont"/>
    <w:link w:val="FootnoteText"/>
    <w:uiPriority w:val="99"/>
    <w:semiHidden/>
    <w:rsid w:val="005551B1"/>
    <w:rPr>
      <w:rFonts w:ascii="Calibri" w:eastAsia="Calibri" w:hAnsi="Calibri" w:cs="Times New Roman"/>
      <w:kern w:val="0"/>
      <w:sz w:val="20"/>
      <w:szCs w:val="20"/>
      <w:lang w:val="en-US" w:eastAsia="en-US" w:bidi="ar-SA"/>
      <w14:ligatures w14:val="none"/>
    </w:rPr>
  </w:style>
  <w:style w:type="character" w:styleId="FootnoteReference">
    <w:name w:val="footnote reference"/>
    <w:uiPriority w:val="99"/>
    <w:semiHidden/>
    <w:unhideWhenUsed/>
    <w:rsid w:val="005551B1"/>
    <w:rPr>
      <w:vertAlign w:val="superscript"/>
    </w:rPr>
  </w:style>
  <w:style w:type="character" w:styleId="PlaceholderText">
    <w:name w:val="Placeholder Text"/>
    <w:basedOn w:val="DefaultParagraphFont"/>
    <w:uiPriority w:val="99"/>
    <w:semiHidden/>
    <w:rsid w:val="00C74DE0"/>
    <w:rPr>
      <w:color w:val="808080"/>
    </w:rPr>
  </w:style>
  <w:style w:type="paragraph" w:styleId="BalloonText">
    <w:name w:val="Balloon Text"/>
    <w:basedOn w:val="Normal"/>
    <w:link w:val="BalloonTextChar"/>
    <w:uiPriority w:val="99"/>
    <w:semiHidden/>
    <w:unhideWhenUsed/>
    <w:rsid w:val="00C74DE0"/>
    <w:pPr>
      <w:spacing w:after="0" w:line="240" w:lineRule="auto"/>
    </w:pPr>
    <w:rPr>
      <w:rFonts w:ascii="Tahoma" w:eastAsiaTheme="minorHAnsi" w:hAnsi="Tahoma" w:cs="Tahoma"/>
      <w:kern w:val="0"/>
      <w:sz w:val="16"/>
      <w:szCs w:val="16"/>
      <w:lang w:val="en-US" w:eastAsia="en-US" w:bidi="ar-SA"/>
      <w14:ligatures w14:val="none"/>
    </w:rPr>
  </w:style>
  <w:style w:type="character" w:customStyle="1" w:styleId="BalloonTextChar">
    <w:name w:val="Balloon Text Char"/>
    <w:basedOn w:val="DefaultParagraphFont"/>
    <w:link w:val="BalloonText"/>
    <w:uiPriority w:val="99"/>
    <w:semiHidden/>
    <w:rsid w:val="00C74DE0"/>
    <w:rPr>
      <w:rFonts w:ascii="Tahoma" w:eastAsiaTheme="minorHAnsi" w:hAnsi="Tahoma" w:cs="Tahoma"/>
      <w:kern w:val="0"/>
      <w:sz w:val="16"/>
      <w:szCs w:val="16"/>
      <w:lang w:val="en-US" w:eastAsia="en-US" w:bidi="ar-SA"/>
      <w14:ligatures w14:val="none"/>
    </w:rPr>
  </w:style>
  <w:style w:type="paragraph" w:styleId="EndnoteText">
    <w:name w:val="endnote text"/>
    <w:basedOn w:val="Normal"/>
    <w:link w:val="EndnoteTextChar"/>
    <w:uiPriority w:val="99"/>
    <w:semiHidden/>
    <w:unhideWhenUsed/>
    <w:rsid w:val="00C74DE0"/>
    <w:pPr>
      <w:spacing w:after="0" w:line="240" w:lineRule="auto"/>
    </w:pPr>
    <w:rPr>
      <w:rFonts w:eastAsiaTheme="minorHAnsi"/>
      <w:kern w:val="0"/>
      <w:sz w:val="20"/>
      <w:szCs w:val="20"/>
      <w:lang w:val="en-US" w:eastAsia="en-US" w:bidi="ar-SA"/>
      <w14:ligatures w14:val="none"/>
    </w:rPr>
  </w:style>
  <w:style w:type="character" w:customStyle="1" w:styleId="EndnoteTextChar">
    <w:name w:val="Endnote Text Char"/>
    <w:basedOn w:val="DefaultParagraphFont"/>
    <w:link w:val="EndnoteText"/>
    <w:uiPriority w:val="99"/>
    <w:semiHidden/>
    <w:rsid w:val="00C74DE0"/>
    <w:rPr>
      <w:rFonts w:eastAsiaTheme="minorHAnsi"/>
      <w:kern w:val="0"/>
      <w:sz w:val="20"/>
      <w:szCs w:val="20"/>
      <w:lang w:val="en-US" w:eastAsia="en-US" w:bidi="ar-SA"/>
      <w14:ligatures w14:val="none"/>
    </w:rPr>
  </w:style>
  <w:style w:type="character" w:styleId="EndnoteReference">
    <w:name w:val="endnote reference"/>
    <w:basedOn w:val="DefaultParagraphFont"/>
    <w:uiPriority w:val="99"/>
    <w:semiHidden/>
    <w:unhideWhenUsed/>
    <w:rsid w:val="00C74D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05441">
      <w:bodyDiv w:val="1"/>
      <w:marLeft w:val="0"/>
      <w:marRight w:val="0"/>
      <w:marTop w:val="0"/>
      <w:marBottom w:val="0"/>
      <w:divBdr>
        <w:top w:val="none" w:sz="0" w:space="0" w:color="auto"/>
        <w:left w:val="none" w:sz="0" w:space="0" w:color="auto"/>
        <w:bottom w:val="none" w:sz="0" w:space="0" w:color="auto"/>
        <w:right w:val="none" w:sz="0" w:space="0" w:color="auto"/>
      </w:divBdr>
    </w:div>
    <w:div w:id="104345710">
      <w:bodyDiv w:val="1"/>
      <w:marLeft w:val="0"/>
      <w:marRight w:val="0"/>
      <w:marTop w:val="0"/>
      <w:marBottom w:val="0"/>
      <w:divBdr>
        <w:top w:val="none" w:sz="0" w:space="0" w:color="auto"/>
        <w:left w:val="none" w:sz="0" w:space="0" w:color="auto"/>
        <w:bottom w:val="none" w:sz="0" w:space="0" w:color="auto"/>
        <w:right w:val="none" w:sz="0" w:space="0" w:color="auto"/>
      </w:divBdr>
    </w:div>
    <w:div w:id="107509436">
      <w:bodyDiv w:val="1"/>
      <w:marLeft w:val="0"/>
      <w:marRight w:val="0"/>
      <w:marTop w:val="0"/>
      <w:marBottom w:val="0"/>
      <w:divBdr>
        <w:top w:val="none" w:sz="0" w:space="0" w:color="auto"/>
        <w:left w:val="none" w:sz="0" w:space="0" w:color="auto"/>
        <w:bottom w:val="none" w:sz="0" w:space="0" w:color="auto"/>
        <w:right w:val="none" w:sz="0" w:space="0" w:color="auto"/>
      </w:divBdr>
    </w:div>
    <w:div w:id="127211039">
      <w:bodyDiv w:val="1"/>
      <w:marLeft w:val="0"/>
      <w:marRight w:val="0"/>
      <w:marTop w:val="0"/>
      <w:marBottom w:val="0"/>
      <w:divBdr>
        <w:top w:val="none" w:sz="0" w:space="0" w:color="auto"/>
        <w:left w:val="none" w:sz="0" w:space="0" w:color="auto"/>
        <w:bottom w:val="none" w:sz="0" w:space="0" w:color="auto"/>
        <w:right w:val="none" w:sz="0" w:space="0" w:color="auto"/>
      </w:divBdr>
    </w:div>
    <w:div w:id="166747299">
      <w:bodyDiv w:val="1"/>
      <w:marLeft w:val="0"/>
      <w:marRight w:val="0"/>
      <w:marTop w:val="0"/>
      <w:marBottom w:val="0"/>
      <w:divBdr>
        <w:top w:val="none" w:sz="0" w:space="0" w:color="auto"/>
        <w:left w:val="none" w:sz="0" w:space="0" w:color="auto"/>
        <w:bottom w:val="none" w:sz="0" w:space="0" w:color="auto"/>
        <w:right w:val="none" w:sz="0" w:space="0" w:color="auto"/>
      </w:divBdr>
    </w:div>
    <w:div w:id="170611809">
      <w:bodyDiv w:val="1"/>
      <w:marLeft w:val="0"/>
      <w:marRight w:val="0"/>
      <w:marTop w:val="0"/>
      <w:marBottom w:val="0"/>
      <w:divBdr>
        <w:top w:val="none" w:sz="0" w:space="0" w:color="auto"/>
        <w:left w:val="none" w:sz="0" w:space="0" w:color="auto"/>
        <w:bottom w:val="none" w:sz="0" w:space="0" w:color="auto"/>
        <w:right w:val="none" w:sz="0" w:space="0" w:color="auto"/>
      </w:divBdr>
    </w:div>
    <w:div w:id="170876279">
      <w:bodyDiv w:val="1"/>
      <w:marLeft w:val="0"/>
      <w:marRight w:val="0"/>
      <w:marTop w:val="0"/>
      <w:marBottom w:val="0"/>
      <w:divBdr>
        <w:top w:val="none" w:sz="0" w:space="0" w:color="auto"/>
        <w:left w:val="none" w:sz="0" w:space="0" w:color="auto"/>
        <w:bottom w:val="none" w:sz="0" w:space="0" w:color="auto"/>
        <w:right w:val="none" w:sz="0" w:space="0" w:color="auto"/>
      </w:divBdr>
    </w:div>
    <w:div w:id="171335994">
      <w:bodyDiv w:val="1"/>
      <w:marLeft w:val="0"/>
      <w:marRight w:val="0"/>
      <w:marTop w:val="0"/>
      <w:marBottom w:val="0"/>
      <w:divBdr>
        <w:top w:val="none" w:sz="0" w:space="0" w:color="auto"/>
        <w:left w:val="none" w:sz="0" w:space="0" w:color="auto"/>
        <w:bottom w:val="none" w:sz="0" w:space="0" w:color="auto"/>
        <w:right w:val="none" w:sz="0" w:space="0" w:color="auto"/>
      </w:divBdr>
    </w:div>
    <w:div w:id="231546705">
      <w:bodyDiv w:val="1"/>
      <w:marLeft w:val="0"/>
      <w:marRight w:val="0"/>
      <w:marTop w:val="0"/>
      <w:marBottom w:val="0"/>
      <w:divBdr>
        <w:top w:val="none" w:sz="0" w:space="0" w:color="auto"/>
        <w:left w:val="none" w:sz="0" w:space="0" w:color="auto"/>
        <w:bottom w:val="none" w:sz="0" w:space="0" w:color="auto"/>
        <w:right w:val="none" w:sz="0" w:space="0" w:color="auto"/>
      </w:divBdr>
    </w:div>
    <w:div w:id="258023776">
      <w:bodyDiv w:val="1"/>
      <w:marLeft w:val="0"/>
      <w:marRight w:val="0"/>
      <w:marTop w:val="0"/>
      <w:marBottom w:val="0"/>
      <w:divBdr>
        <w:top w:val="none" w:sz="0" w:space="0" w:color="auto"/>
        <w:left w:val="none" w:sz="0" w:space="0" w:color="auto"/>
        <w:bottom w:val="none" w:sz="0" w:space="0" w:color="auto"/>
        <w:right w:val="none" w:sz="0" w:space="0" w:color="auto"/>
      </w:divBdr>
    </w:div>
    <w:div w:id="263538430">
      <w:bodyDiv w:val="1"/>
      <w:marLeft w:val="0"/>
      <w:marRight w:val="0"/>
      <w:marTop w:val="0"/>
      <w:marBottom w:val="0"/>
      <w:divBdr>
        <w:top w:val="none" w:sz="0" w:space="0" w:color="auto"/>
        <w:left w:val="none" w:sz="0" w:space="0" w:color="auto"/>
        <w:bottom w:val="none" w:sz="0" w:space="0" w:color="auto"/>
        <w:right w:val="none" w:sz="0" w:space="0" w:color="auto"/>
      </w:divBdr>
    </w:div>
    <w:div w:id="331378032">
      <w:bodyDiv w:val="1"/>
      <w:marLeft w:val="0"/>
      <w:marRight w:val="0"/>
      <w:marTop w:val="0"/>
      <w:marBottom w:val="0"/>
      <w:divBdr>
        <w:top w:val="none" w:sz="0" w:space="0" w:color="auto"/>
        <w:left w:val="none" w:sz="0" w:space="0" w:color="auto"/>
        <w:bottom w:val="none" w:sz="0" w:space="0" w:color="auto"/>
        <w:right w:val="none" w:sz="0" w:space="0" w:color="auto"/>
      </w:divBdr>
    </w:div>
    <w:div w:id="351760110">
      <w:bodyDiv w:val="1"/>
      <w:marLeft w:val="0"/>
      <w:marRight w:val="0"/>
      <w:marTop w:val="0"/>
      <w:marBottom w:val="0"/>
      <w:divBdr>
        <w:top w:val="none" w:sz="0" w:space="0" w:color="auto"/>
        <w:left w:val="none" w:sz="0" w:space="0" w:color="auto"/>
        <w:bottom w:val="none" w:sz="0" w:space="0" w:color="auto"/>
        <w:right w:val="none" w:sz="0" w:space="0" w:color="auto"/>
      </w:divBdr>
    </w:div>
    <w:div w:id="379524997">
      <w:bodyDiv w:val="1"/>
      <w:marLeft w:val="0"/>
      <w:marRight w:val="0"/>
      <w:marTop w:val="0"/>
      <w:marBottom w:val="0"/>
      <w:divBdr>
        <w:top w:val="none" w:sz="0" w:space="0" w:color="auto"/>
        <w:left w:val="none" w:sz="0" w:space="0" w:color="auto"/>
        <w:bottom w:val="none" w:sz="0" w:space="0" w:color="auto"/>
        <w:right w:val="none" w:sz="0" w:space="0" w:color="auto"/>
      </w:divBdr>
    </w:div>
    <w:div w:id="503055427">
      <w:bodyDiv w:val="1"/>
      <w:marLeft w:val="0"/>
      <w:marRight w:val="0"/>
      <w:marTop w:val="0"/>
      <w:marBottom w:val="0"/>
      <w:divBdr>
        <w:top w:val="none" w:sz="0" w:space="0" w:color="auto"/>
        <w:left w:val="none" w:sz="0" w:space="0" w:color="auto"/>
        <w:bottom w:val="none" w:sz="0" w:space="0" w:color="auto"/>
        <w:right w:val="none" w:sz="0" w:space="0" w:color="auto"/>
      </w:divBdr>
    </w:div>
    <w:div w:id="504635101">
      <w:bodyDiv w:val="1"/>
      <w:marLeft w:val="0"/>
      <w:marRight w:val="0"/>
      <w:marTop w:val="0"/>
      <w:marBottom w:val="0"/>
      <w:divBdr>
        <w:top w:val="none" w:sz="0" w:space="0" w:color="auto"/>
        <w:left w:val="none" w:sz="0" w:space="0" w:color="auto"/>
        <w:bottom w:val="none" w:sz="0" w:space="0" w:color="auto"/>
        <w:right w:val="none" w:sz="0" w:space="0" w:color="auto"/>
      </w:divBdr>
    </w:div>
    <w:div w:id="514617982">
      <w:bodyDiv w:val="1"/>
      <w:marLeft w:val="0"/>
      <w:marRight w:val="0"/>
      <w:marTop w:val="0"/>
      <w:marBottom w:val="0"/>
      <w:divBdr>
        <w:top w:val="none" w:sz="0" w:space="0" w:color="auto"/>
        <w:left w:val="none" w:sz="0" w:space="0" w:color="auto"/>
        <w:bottom w:val="none" w:sz="0" w:space="0" w:color="auto"/>
        <w:right w:val="none" w:sz="0" w:space="0" w:color="auto"/>
      </w:divBdr>
    </w:div>
    <w:div w:id="531503865">
      <w:bodyDiv w:val="1"/>
      <w:marLeft w:val="0"/>
      <w:marRight w:val="0"/>
      <w:marTop w:val="0"/>
      <w:marBottom w:val="0"/>
      <w:divBdr>
        <w:top w:val="none" w:sz="0" w:space="0" w:color="auto"/>
        <w:left w:val="none" w:sz="0" w:space="0" w:color="auto"/>
        <w:bottom w:val="none" w:sz="0" w:space="0" w:color="auto"/>
        <w:right w:val="none" w:sz="0" w:space="0" w:color="auto"/>
      </w:divBdr>
    </w:div>
    <w:div w:id="536696478">
      <w:bodyDiv w:val="1"/>
      <w:marLeft w:val="0"/>
      <w:marRight w:val="0"/>
      <w:marTop w:val="0"/>
      <w:marBottom w:val="0"/>
      <w:divBdr>
        <w:top w:val="none" w:sz="0" w:space="0" w:color="auto"/>
        <w:left w:val="none" w:sz="0" w:space="0" w:color="auto"/>
        <w:bottom w:val="none" w:sz="0" w:space="0" w:color="auto"/>
        <w:right w:val="none" w:sz="0" w:space="0" w:color="auto"/>
      </w:divBdr>
    </w:div>
    <w:div w:id="596718746">
      <w:bodyDiv w:val="1"/>
      <w:marLeft w:val="0"/>
      <w:marRight w:val="0"/>
      <w:marTop w:val="0"/>
      <w:marBottom w:val="0"/>
      <w:divBdr>
        <w:top w:val="none" w:sz="0" w:space="0" w:color="auto"/>
        <w:left w:val="none" w:sz="0" w:space="0" w:color="auto"/>
        <w:bottom w:val="none" w:sz="0" w:space="0" w:color="auto"/>
        <w:right w:val="none" w:sz="0" w:space="0" w:color="auto"/>
      </w:divBdr>
    </w:div>
    <w:div w:id="606623754">
      <w:bodyDiv w:val="1"/>
      <w:marLeft w:val="0"/>
      <w:marRight w:val="0"/>
      <w:marTop w:val="0"/>
      <w:marBottom w:val="0"/>
      <w:divBdr>
        <w:top w:val="none" w:sz="0" w:space="0" w:color="auto"/>
        <w:left w:val="none" w:sz="0" w:space="0" w:color="auto"/>
        <w:bottom w:val="none" w:sz="0" w:space="0" w:color="auto"/>
        <w:right w:val="none" w:sz="0" w:space="0" w:color="auto"/>
      </w:divBdr>
    </w:div>
    <w:div w:id="735277429">
      <w:bodyDiv w:val="1"/>
      <w:marLeft w:val="0"/>
      <w:marRight w:val="0"/>
      <w:marTop w:val="0"/>
      <w:marBottom w:val="0"/>
      <w:divBdr>
        <w:top w:val="none" w:sz="0" w:space="0" w:color="auto"/>
        <w:left w:val="none" w:sz="0" w:space="0" w:color="auto"/>
        <w:bottom w:val="none" w:sz="0" w:space="0" w:color="auto"/>
        <w:right w:val="none" w:sz="0" w:space="0" w:color="auto"/>
      </w:divBdr>
    </w:div>
    <w:div w:id="742457437">
      <w:bodyDiv w:val="1"/>
      <w:marLeft w:val="0"/>
      <w:marRight w:val="0"/>
      <w:marTop w:val="0"/>
      <w:marBottom w:val="0"/>
      <w:divBdr>
        <w:top w:val="none" w:sz="0" w:space="0" w:color="auto"/>
        <w:left w:val="none" w:sz="0" w:space="0" w:color="auto"/>
        <w:bottom w:val="none" w:sz="0" w:space="0" w:color="auto"/>
        <w:right w:val="none" w:sz="0" w:space="0" w:color="auto"/>
      </w:divBdr>
    </w:div>
    <w:div w:id="793475716">
      <w:bodyDiv w:val="1"/>
      <w:marLeft w:val="0"/>
      <w:marRight w:val="0"/>
      <w:marTop w:val="0"/>
      <w:marBottom w:val="0"/>
      <w:divBdr>
        <w:top w:val="none" w:sz="0" w:space="0" w:color="auto"/>
        <w:left w:val="none" w:sz="0" w:space="0" w:color="auto"/>
        <w:bottom w:val="none" w:sz="0" w:space="0" w:color="auto"/>
        <w:right w:val="none" w:sz="0" w:space="0" w:color="auto"/>
      </w:divBdr>
    </w:div>
    <w:div w:id="812018107">
      <w:bodyDiv w:val="1"/>
      <w:marLeft w:val="0"/>
      <w:marRight w:val="0"/>
      <w:marTop w:val="0"/>
      <w:marBottom w:val="0"/>
      <w:divBdr>
        <w:top w:val="none" w:sz="0" w:space="0" w:color="auto"/>
        <w:left w:val="none" w:sz="0" w:space="0" w:color="auto"/>
        <w:bottom w:val="none" w:sz="0" w:space="0" w:color="auto"/>
        <w:right w:val="none" w:sz="0" w:space="0" w:color="auto"/>
      </w:divBdr>
    </w:div>
    <w:div w:id="838616590">
      <w:bodyDiv w:val="1"/>
      <w:marLeft w:val="0"/>
      <w:marRight w:val="0"/>
      <w:marTop w:val="0"/>
      <w:marBottom w:val="0"/>
      <w:divBdr>
        <w:top w:val="none" w:sz="0" w:space="0" w:color="auto"/>
        <w:left w:val="none" w:sz="0" w:space="0" w:color="auto"/>
        <w:bottom w:val="none" w:sz="0" w:space="0" w:color="auto"/>
        <w:right w:val="none" w:sz="0" w:space="0" w:color="auto"/>
      </w:divBdr>
    </w:div>
    <w:div w:id="917667125">
      <w:bodyDiv w:val="1"/>
      <w:marLeft w:val="0"/>
      <w:marRight w:val="0"/>
      <w:marTop w:val="0"/>
      <w:marBottom w:val="0"/>
      <w:divBdr>
        <w:top w:val="none" w:sz="0" w:space="0" w:color="auto"/>
        <w:left w:val="none" w:sz="0" w:space="0" w:color="auto"/>
        <w:bottom w:val="none" w:sz="0" w:space="0" w:color="auto"/>
        <w:right w:val="none" w:sz="0" w:space="0" w:color="auto"/>
      </w:divBdr>
    </w:div>
    <w:div w:id="933705918">
      <w:bodyDiv w:val="1"/>
      <w:marLeft w:val="0"/>
      <w:marRight w:val="0"/>
      <w:marTop w:val="0"/>
      <w:marBottom w:val="0"/>
      <w:divBdr>
        <w:top w:val="none" w:sz="0" w:space="0" w:color="auto"/>
        <w:left w:val="none" w:sz="0" w:space="0" w:color="auto"/>
        <w:bottom w:val="none" w:sz="0" w:space="0" w:color="auto"/>
        <w:right w:val="none" w:sz="0" w:space="0" w:color="auto"/>
      </w:divBdr>
    </w:div>
    <w:div w:id="958874440">
      <w:bodyDiv w:val="1"/>
      <w:marLeft w:val="0"/>
      <w:marRight w:val="0"/>
      <w:marTop w:val="0"/>
      <w:marBottom w:val="0"/>
      <w:divBdr>
        <w:top w:val="none" w:sz="0" w:space="0" w:color="auto"/>
        <w:left w:val="none" w:sz="0" w:space="0" w:color="auto"/>
        <w:bottom w:val="none" w:sz="0" w:space="0" w:color="auto"/>
        <w:right w:val="none" w:sz="0" w:space="0" w:color="auto"/>
      </w:divBdr>
    </w:div>
    <w:div w:id="978849869">
      <w:bodyDiv w:val="1"/>
      <w:marLeft w:val="0"/>
      <w:marRight w:val="0"/>
      <w:marTop w:val="0"/>
      <w:marBottom w:val="0"/>
      <w:divBdr>
        <w:top w:val="none" w:sz="0" w:space="0" w:color="auto"/>
        <w:left w:val="none" w:sz="0" w:space="0" w:color="auto"/>
        <w:bottom w:val="none" w:sz="0" w:space="0" w:color="auto"/>
        <w:right w:val="none" w:sz="0" w:space="0" w:color="auto"/>
      </w:divBdr>
    </w:div>
    <w:div w:id="1012488859">
      <w:bodyDiv w:val="1"/>
      <w:marLeft w:val="0"/>
      <w:marRight w:val="0"/>
      <w:marTop w:val="0"/>
      <w:marBottom w:val="0"/>
      <w:divBdr>
        <w:top w:val="none" w:sz="0" w:space="0" w:color="auto"/>
        <w:left w:val="none" w:sz="0" w:space="0" w:color="auto"/>
        <w:bottom w:val="none" w:sz="0" w:space="0" w:color="auto"/>
        <w:right w:val="none" w:sz="0" w:space="0" w:color="auto"/>
      </w:divBdr>
    </w:div>
    <w:div w:id="1046637803">
      <w:bodyDiv w:val="1"/>
      <w:marLeft w:val="0"/>
      <w:marRight w:val="0"/>
      <w:marTop w:val="0"/>
      <w:marBottom w:val="0"/>
      <w:divBdr>
        <w:top w:val="none" w:sz="0" w:space="0" w:color="auto"/>
        <w:left w:val="none" w:sz="0" w:space="0" w:color="auto"/>
        <w:bottom w:val="none" w:sz="0" w:space="0" w:color="auto"/>
        <w:right w:val="none" w:sz="0" w:space="0" w:color="auto"/>
      </w:divBdr>
    </w:div>
    <w:div w:id="1048914388">
      <w:bodyDiv w:val="1"/>
      <w:marLeft w:val="0"/>
      <w:marRight w:val="0"/>
      <w:marTop w:val="0"/>
      <w:marBottom w:val="0"/>
      <w:divBdr>
        <w:top w:val="none" w:sz="0" w:space="0" w:color="auto"/>
        <w:left w:val="none" w:sz="0" w:space="0" w:color="auto"/>
        <w:bottom w:val="none" w:sz="0" w:space="0" w:color="auto"/>
        <w:right w:val="none" w:sz="0" w:space="0" w:color="auto"/>
      </w:divBdr>
    </w:div>
    <w:div w:id="1117137044">
      <w:bodyDiv w:val="1"/>
      <w:marLeft w:val="0"/>
      <w:marRight w:val="0"/>
      <w:marTop w:val="0"/>
      <w:marBottom w:val="0"/>
      <w:divBdr>
        <w:top w:val="none" w:sz="0" w:space="0" w:color="auto"/>
        <w:left w:val="none" w:sz="0" w:space="0" w:color="auto"/>
        <w:bottom w:val="none" w:sz="0" w:space="0" w:color="auto"/>
        <w:right w:val="none" w:sz="0" w:space="0" w:color="auto"/>
      </w:divBdr>
    </w:div>
    <w:div w:id="1162892289">
      <w:bodyDiv w:val="1"/>
      <w:marLeft w:val="0"/>
      <w:marRight w:val="0"/>
      <w:marTop w:val="0"/>
      <w:marBottom w:val="0"/>
      <w:divBdr>
        <w:top w:val="none" w:sz="0" w:space="0" w:color="auto"/>
        <w:left w:val="none" w:sz="0" w:space="0" w:color="auto"/>
        <w:bottom w:val="none" w:sz="0" w:space="0" w:color="auto"/>
        <w:right w:val="none" w:sz="0" w:space="0" w:color="auto"/>
      </w:divBdr>
    </w:div>
    <w:div w:id="1278566665">
      <w:bodyDiv w:val="1"/>
      <w:marLeft w:val="0"/>
      <w:marRight w:val="0"/>
      <w:marTop w:val="0"/>
      <w:marBottom w:val="0"/>
      <w:divBdr>
        <w:top w:val="none" w:sz="0" w:space="0" w:color="auto"/>
        <w:left w:val="none" w:sz="0" w:space="0" w:color="auto"/>
        <w:bottom w:val="none" w:sz="0" w:space="0" w:color="auto"/>
        <w:right w:val="none" w:sz="0" w:space="0" w:color="auto"/>
      </w:divBdr>
    </w:div>
    <w:div w:id="1300573387">
      <w:bodyDiv w:val="1"/>
      <w:marLeft w:val="0"/>
      <w:marRight w:val="0"/>
      <w:marTop w:val="0"/>
      <w:marBottom w:val="0"/>
      <w:divBdr>
        <w:top w:val="none" w:sz="0" w:space="0" w:color="auto"/>
        <w:left w:val="none" w:sz="0" w:space="0" w:color="auto"/>
        <w:bottom w:val="none" w:sz="0" w:space="0" w:color="auto"/>
        <w:right w:val="none" w:sz="0" w:space="0" w:color="auto"/>
      </w:divBdr>
    </w:div>
    <w:div w:id="1311786123">
      <w:bodyDiv w:val="1"/>
      <w:marLeft w:val="0"/>
      <w:marRight w:val="0"/>
      <w:marTop w:val="0"/>
      <w:marBottom w:val="0"/>
      <w:divBdr>
        <w:top w:val="none" w:sz="0" w:space="0" w:color="auto"/>
        <w:left w:val="none" w:sz="0" w:space="0" w:color="auto"/>
        <w:bottom w:val="none" w:sz="0" w:space="0" w:color="auto"/>
        <w:right w:val="none" w:sz="0" w:space="0" w:color="auto"/>
      </w:divBdr>
    </w:div>
    <w:div w:id="1402830593">
      <w:bodyDiv w:val="1"/>
      <w:marLeft w:val="0"/>
      <w:marRight w:val="0"/>
      <w:marTop w:val="0"/>
      <w:marBottom w:val="0"/>
      <w:divBdr>
        <w:top w:val="none" w:sz="0" w:space="0" w:color="auto"/>
        <w:left w:val="none" w:sz="0" w:space="0" w:color="auto"/>
        <w:bottom w:val="none" w:sz="0" w:space="0" w:color="auto"/>
        <w:right w:val="none" w:sz="0" w:space="0" w:color="auto"/>
      </w:divBdr>
    </w:div>
    <w:div w:id="1403481422">
      <w:bodyDiv w:val="1"/>
      <w:marLeft w:val="0"/>
      <w:marRight w:val="0"/>
      <w:marTop w:val="0"/>
      <w:marBottom w:val="0"/>
      <w:divBdr>
        <w:top w:val="none" w:sz="0" w:space="0" w:color="auto"/>
        <w:left w:val="none" w:sz="0" w:space="0" w:color="auto"/>
        <w:bottom w:val="none" w:sz="0" w:space="0" w:color="auto"/>
        <w:right w:val="none" w:sz="0" w:space="0" w:color="auto"/>
      </w:divBdr>
    </w:div>
    <w:div w:id="1423262050">
      <w:bodyDiv w:val="1"/>
      <w:marLeft w:val="0"/>
      <w:marRight w:val="0"/>
      <w:marTop w:val="0"/>
      <w:marBottom w:val="0"/>
      <w:divBdr>
        <w:top w:val="none" w:sz="0" w:space="0" w:color="auto"/>
        <w:left w:val="none" w:sz="0" w:space="0" w:color="auto"/>
        <w:bottom w:val="none" w:sz="0" w:space="0" w:color="auto"/>
        <w:right w:val="none" w:sz="0" w:space="0" w:color="auto"/>
      </w:divBdr>
    </w:div>
    <w:div w:id="1497306275">
      <w:bodyDiv w:val="1"/>
      <w:marLeft w:val="0"/>
      <w:marRight w:val="0"/>
      <w:marTop w:val="0"/>
      <w:marBottom w:val="0"/>
      <w:divBdr>
        <w:top w:val="none" w:sz="0" w:space="0" w:color="auto"/>
        <w:left w:val="none" w:sz="0" w:space="0" w:color="auto"/>
        <w:bottom w:val="none" w:sz="0" w:space="0" w:color="auto"/>
        <w:right w:val="none" w:sz="0" w:space="0" w:color="auto"/>
      </w:divBdr>
    </w:div>
    <w:div w:id="1506359540">
      <w:bodyDiv w:val="1"/>
      <w:marLeft w:val="0"/>
      <w:marRight w:val="0"/>
      <w:marTop w:val="0"/>
      <w:marBottom w:val="0"/>
      <w:divBdr>
        <w:top w:val="none" w:sz="0" w:space="0" w:color="auto"/>
        <w:left w:val="none" w:sz="0" w:space="0" w:color="auto"/>
        <w:bottom w:val="none" w:sz="0" w:space="0" w:color="auto"/>
        <w:right w:val="none" w:sz="0" w:space="0" w:color="auto"/>
      </w:divBdr>
    </w:div>
    <w:div w:id="1537698506">
      <w:bodyDiv w:val="1"/>
      <w:marLeft w:val="0"/>
      <w:marRight w:val="0"/>
      <w:marTop w:val="0"/>
      <w:marBottom w:val="0"/>
      <w:divBdr>
        <w:top w:val="none" w:sz="0" w:space="0" w:color="auto"/>
        <w:left w:val="none" w:sz="0" w:space="0" w:color="auto"/>
        <w:bottom w:val="none" w:sz="0" w:space="0" w:color="auto"/>
        <w:right w:val="none" w:sz="0" w:space="0" w:color="auto"/>
      </w:divBdr>
    </w:div>
    <w:div w:id="1580485886">
      <w:bodyDiv w:val="1"/>
      <w:marLeft w:val="0"/>
      <w:marRight w:val="0"/>
      <w:marTop w:val="0"/>
      <w:marBottom w:val="0"/>
      <w:divBdr>
        <w:top w:val="none" w:sz="0" w:space="0" w:color="auto"/>
        <w:left w:val="none" w:sz="0" w:space="0" w:color="auto"/>
        <w:bottom w:val="none" w:sz="0" w:space="0" w:color="auto"/>
        <w:right w:val="none" w:sz="0" w:space="0" w:color="auto"/>
      </w:divBdr>
    </w:div>
    <w:div w:id="1657799898">
      <w:bodyDiv w:val="1"/>
      <w:marLeft w:val="0"/>
      <w:marRight w:val="0"/>
      <w:marTop w:val="0"/>
      <w:marBottom w:val="0"/>
      <w:divBdr>
        <w:top w:val="none" w:sz="0" w:space="0" w:color="auto"/>
        <w:left w:val="none" w:sz="0" w:space="0" w:color="auto"/>
        <w:bottom w:val="none" w:sz="0" w:space="0" w:color="auto"/>
        <w:right w:val="none" w:sz="0" w:space="0" w:color="auto"/>
      </w:divBdr>
    </w:div>
    <w:div w:id="1673486410">
      <w:bodyDiv w:val="1"/>
      <w:marLeft w:val="0"/>
      <w:marRight w:val="0"/>
      <w:marTop w:val="0"/>
      <w:marBottom w:val="0"/>
      <w:divBdr>
        <w:top w:val="none" w:sz="0" w:space="0" w:color="auto"/>
        <w:left w:val="none" w:sz="0" w:space="0" w:color="auto"/>
        <w:bottom w:val="none" w:sz="0" w:space="0" w:color="auto"/>
        <w:right w:val="none" w:sz="0" w:space="0" w:color="auto"/>
      </w:divBdr>
    </w:div>
    <w:div w:id="1701391134">
      <w:bodyDiv w:val="1"/>
      <w:marLeft w:val="0"/>
      <w:marRight w:val="0"/>
      <w:marTop w:val="0"/>
      <w:marBottom w:val="0"/>
      <w:divBdr>
        <w:top w:val="none" w:sz="0" w:space="0" w:color="auto"/>
        <w:left w:val="none" w:sz="0" w:space="0" w:color="auto"/>
        <w:bottom w:val="none" w:sz="0" w:space="0" w:color="auto"/>
        <w:right w:val="none" w:sz="0" w:space="0" w:color="auto"/>
      </w:divBdr>
    </w:div>
    <w:div w:id="1803451676">
      <w:bodyDiv w:val="1"/>
      <w:marLeft w:val="0"/>
      <w:marRight w:val="0"/>
      <w:marTop w:val="0"/>
      <w:marBottom w:val="0"/>
      <w:divBdr>
        <w:top w:val="none" w:sz="0" w:space="0" w:color="auto"/>
        <w:left w:val="none" w:sz="0" w:space="0" w:color="auto"/>
        <w:bottom w:val="none" w:sz="0" w:space="0" w:color="auto"/>
        <w:right w:val="none" w:sz="0" w:space="0" w:color="auto"/>
      </w:divBdr>
    </w:div>
    <w:div w:id="1815952879">
      <w:bodyDiv w:val="1"/>
      <w:marLeft w:val="0"/>
      <w:marRight w:val="0"/>
      <w:marTop w:val="0"/>
      <w:marBottom w:val="0"/>
      <w:divBdr>
        <w:top w:val="none" w:sz="0" w:space="0" w:color="auto"/>
        <w:left w:val="none" w:sz="0" w:space="0" w:color="auto"/>
        <w:bottom w:val="none" w:sz="0" w:space="0" w:color="auto"/>
        <w:right w:val="none" w:sz="0" w:space="0" w:color="auto"/>
      </w:divBdr>
    </w:div>
    <w:div w:id="1830902962">
      <w:bodyDiv w:val="1"/>
      <w:marLeft w:val="0"/>
      <w:marRight w:val="0"/>
      <w:marTop w:val="0"/>
      <w:marBottom w:val="0"/>
      <w:divBdr>
        <w:top w:val="none" w:sz="0" w:space="0" w:color="auto"/>
        <w:left w:val="none" w:sz="0" w:space="0" w:color="auto"/>
        <w:bottom w:val="none" w:sz="0" w:space="0" w:color="auto"/>
        <w:right w:val="none" w:sz="0" w:space="0" w:color="auto"/>
      </w:divBdr>
    </w:div>
    <w:div w:id="2041661446">
      <w:bodyDiv w:val="1"/>
      <w:marLeft w:val="0"/>
      <w:marRight w:val="0"/>
      <w:marTop w:val="0"/>
      <w:marBottom w:val="0"/>
      <w:divBdr>
        <w:top w:val="none" w:sz="0" w:space="0" w:color="auto"/>
        <w:left w:val="none" w:sz="0" w:space="0" w:color="auto"/>
        <w:bottom w:val="none" w:sz="0" w:space="0" w:color="auto"/>
        <w:right w:val="none" w:sz="0" w:space="0" w:color="auto"/>
      </w:divBdr>
    </w:div>
    <w:div w:id="2088451493">
      <w:bodyDiv w:val="1"/>
      <w:marLeft w:val="0"/>
      <w:marRight w:val="0"/>
      <w:marTop w:val="0"/>
      <w:marBottom w:val="0"/>
      <w:divBdr>
        <w:top w:val="none" w:sz="0" w:space="0" w:color="auto"/>
        <w:left w:val="none" w:sz="0" w:space="0" w:color="auto"/>
        <w:bottom w:val="none" w:sz="0" w:space="0" w:color="auto"/>
        <w:right w:val="none" w:sz="0" w:space="0" w:color="auto"/>
      </w:divBdr>
    </w:div>
    <w:div w:id="2098551748">
      <w:bodyDiv w:val="1"/>
      <w:marLeft w:val="0"/>
      <w:marRight w:val="0"/>
      <w:marTop w:val="0"/>
      <w:marBottom w:val="0"/>
      <w:divBdr>
        <w:top w:val="none" w:sz="0" w:space="0" w:color="auto"/>
        <w:left w:val="none" w:sz="0" w:space="0" w:color="auto"/>
        <w:bottom w:val="none" w:sz="0" w:space="0" w:color="auto"/>
        <w:right w:val="none" w:sz="0" w:space="0" w:color="auto"/>
      </w:divBdr>
    </w:div>
    <w:div w:id="2127697193">
      <w:bodyDiv w:val="1"/>
      <w:marLeft w:val="0"/>
      <w:marRight w:val="0"/>
      <w:marTop w:val="0"/>
      <w:marBottom w:val="0"/>
      <w:divBdr>
        <w:top w:val="none" w:sz="0" w:space="0" w:color="auto"/>
        <w:left w:val="none" w:sz="0" w:space="0" w:color="auto"/>
        <w:bottom w:val="none" w:sz="0" w:space="0" w:color="auto"/>
        <w:right w:val="none" w:sz="0" w:space="0" w:color="auto"/>
      </w:divBdr>
    </w:div>
    <w:div w:id="213898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nc-nd/4.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nbpa.org.in/" TargetMode="External"/><Relationship Id="rId2" Type="http://schemas.openxmlformats.org/officeDocument/2006/relationships/numbering" Target="numbering.xml"/><Relationship Id="rId16" Type="http://schemas.openxmlformats.org/officeDocument/2006/relationships/hyperlink" Target="https://nbpajournal.co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ativecommons.org/licenses/by-nc-nd/4.0/"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DeA74</b:Tag>
    <b:SourceType>Book</b:SourceType>
    <b:Guid>{67E55375-FDE4-4DCD-B5DE-44EB4B499EDB}</b:Guid>
    <b:Author>
      <b:Author>
        <b:NameList>
          <b:Person>
            <b:Last>De</b:Last>
            <b:First>Amalendu.</b:First>
          </b:Person>
        </b:NameList>
      </b:Author>
    </b:Author>
    <b:Title>Roots of Separatism in Nineteenth Century Bengal</b:Title>
    <b:Year>1974</b:Year>
    <b:City>Kolkata</b:City>
    <b:Publisher>Ratna Prakashan</b:Publisher>
    <b:RefOrder>1</b:RefOrder>
  </b:Source>
  <b:Source>
    <b:Tag>Lah91</b:Tag>
    <b:SourceType>Book</b:SourceType>
    <b:Guid>{72E76405-D1D6-4D98-B043-70106750F153}</b:Guid>
    <b:Author>
      <b:Author>
        <b:NameList>
          <b:Person>
            <b:Last>Lahiri</b:Last>
            <b:First>P.</b:First>
            <b:Middle>K.</b:Middle>
          </b:Person>
        </b:NameList>
      </b:Author>
    </b:Author>
    <b:Title>  Bengali Muslim thought, 1818-1947: its liberal and rational trends.</b:Title>
    <b:Year>(1991)</b:Year>
    <b:City>Kolkata</b:City>
    <b:Publisher> K.P. Bagchi &amp; Co</b:Publisher>
    <b:RefOrder>2</b:RefOrder>
  </b:Source>
  <b:Source>
    <b:Tag>Roy22</b:Tag>
    <b:SourceType>Book</b:SourceType>
    <b:Guid>{F6A09484-585B-46BA-83DA-574FF44AEAF8}</b:Guid>
    <b:Author>
      <b:Author>
        <b:NameList>
          <b:Person>
            <b:Last>Roy</b:Last>
            <b:First>Gautam.</b:First>
          </b:Person>
        </b:NameList>
      </b:Author>
    </b:Author>
    <b:Title> Atmaporichoyer Sondhane Bangali Musalman (Bengali Muslims in Search of Identity) </b:Title>
    <b:Year> 2022</b:Year>
    <b:City>Kolkata</b:City>
    <b:Publisher>Adarshalipi</b:Publisher>
    <b:RefOrder>3</b:RefOrder>
  </b:Source>
  <b:Source>
    <b:Tag>AhmBS</b:Tag>
    <b:SourceType>Book</b:SourceType>
    <b:Guid>{6D33F2B5-A37B-43C2-8B23-F8BF360A1DE3}</b:Guid>
    <b:Author>
      <b:Author>
        <b:NameList>
          <b:Person>
            <b:Last>Ahmed</b:Last>
            <b:First>Salahuddin.</b:First>
          </b:Person>
        </b:NameList>
      </b:Author>
    </b:Author>
    <b:Title>The Muslims of Bengal in the 19th Century: Education, Society, and Political Thought </b:Title>
    <b:Year> Spring Issue, 1395 BS</b:Year>
    <b:Publisher> Sundaram</b:Publisher>
    <b:RefOrder>4</b:RefOrder>
  </b:Source>
  <b:Source>
    <b:Tag>Das97</b:Tag>
    <b:SourceType>Book</b:SourceType>
    <b:Guid>{20C0D6D9-DBC1-4741-BED6-8DE7DF1EF267}</b:Guid>
    <b:Title>National Biography of India</b:Title>
    <b:Year>1996-1997</b:Year>
    <b:Pages>195–208</b:Pages>
    <b:Author>
      <b:Author>
        <b:NameList>
          <b:Person>
            <b:Last>Dasgupta</b:Last>
            <b:First>J.C.</b:First>
          </b:Person>
        </b:NameList>
      </b:Author>
    </b:Author>
    <b:City>Kolkata</b:City>
    <b:ShortTitle>Bengal Muslims</b:ShortTitle>
    <b:RefOrder>5</b:RefOrder>
  </b:Source>
  <b:Source>
    <b:Tag>Kha85</b:Tag>
    <b:SourceType>Book</b:SourceType>
    <b:Guid>{3D1D142A-39CE-47D6-8A17-B7C94574248D}</b:Guid>
    <b:Author>
      <b:Author>
        <b:NameList>
          <b:Person>
            <b:Last>Khan</b:Last>
            <b:First>Z.</b:First>
            <b:Middle>R.</b:Middle>
          </b:Person>
        </b:NameList>
      </b:Author>
    </b:Author>
    <b:Title>Islam and Bengali Nationalism</b:Title>
    <b:Year>1985</b:Year>
    <b:Publisher>Asian Survey</b:Publisher>
    <b:StandardNumber> 25(8)</b:StandardNumber>
    <b:RefOrder>6</b:RefOrder>
  </b:Source>
  <b:Source>
    <b:Tag>Ahm01</b:Tag>
    <b:SourceType>Book</b:SourceType>
    <b:Guid>{905871E7-F9E5-4BDA-A637-633AFDAB02B3}</b:Guid>
    <b:Author>
      <b:Author>
        <b:NameList>
          <b:Person>
            <b:Last>Ahmed</b:Last>
            <b:First>R.</b:First>
          </b:Person>
        </b:NameList>
      </b:Author>
    </b:Author>
    <b:Title>Understanding the Bengal Muslims: interpretative essays</b:Title>
    <b:Year>2001</b:Year>
    <b:Publisher>Oxford University Press</b:Publisher>
    <b:RefOrder>7</b:RefOrder>
  </b:Source>
  <b:Source>
    <b:Tag>Roy83</b:Tag>
    <b:SourceType>Book</b:SourceType>
    <b:Guid>{7D04D3C4-7C62-40BF-9310-AFBAD9B9764B}</b:Guid>
    <b:Author>
      <b:Author>
        <b:NameList>
          <b:Person>
            <b:Last>Roy</b:Last>
            <b:First>A.</b:First>
          </b:Person>
        </b:NameList>
      </b:Author>
    </b:Author>
    <b:Title> The Islamic Syncretistic Tradition in Bengal</b:Title>
    <b:Year>1983</b:Year>
    <b:Publisher>Princeton University Press</b:Publisher>
    <b:RefOrder>8</b:RefOrder>
  </b:Source>
  <b:Source>
    <b:Tag>Raz13</b:Tag>
    <b:SourceType>ConferenceProceedings</b:SourceType>
    <b:Guid>{122DDB4F-25B9-4E24-B563-12D8BFE8B4E1}</b:Guid>
    <b:Title>Mazharul Haque: An icon of communal harmony</b:Title>
    <b:Year>2013</b:Year>
    <b:Author>
      <b:Author>
        <b:NameList>
          <b:Person>
            <b:Last>Raza</b:Last>
            <b:First>S.</b:First>
          </b:Person>
        </b:NameList>
      </b:Author>
    </b:Author>
    <b:Pages>555–563</b:Pages>
    <b:ConferenceName>Proceedings of the Indian History Congress</b:ConferenceName>
    <b:Volume>74</b:Volume>
    <b:ShortTitle>Maulana Parichaya</b:ShortTitle>
    <b:URL> http://www.jstor.org/stable/44158857</b:URL>
    <b:RefOrder>9</b:RefOrder>
  </b:Source>
  <b:Source>
    <b:Tag>Ani95</b:Tag>
    <b:SourceType>Book</b:SourceType>
    <b:Guid>{562E531A-D900-4BF8-9E80-7B0A7FB313B7}</b:Guid>
    <b:Author>
      <b:Author>
        <b:NameList>
          <b:Person>
            <b:Last>Anisuszaman</b:Last>
          </b:Person>
        </b:NameList>
      </b:Author>
      <b:Editor>
        <b:NameList>
          <b:Person>
            <b:Last>Studies</b:Last>
            <b:First>Maulana</b:First>
            <b:Middle>Abul Kalam Azad Institute of Asian</b:Middle>
          </b:Person>
        </b:NameList>
      </b:Editor>
    </b:Author>
    <b:Title>Identity, religion, and recent history: four lectures on society</b:Title>
    <b:Year>(1995)</b:Year>
    <b:City>Kolkata, India</b:City>
    <b:Publisher>Naya Udyog</b:Publisher>
    <b:RefOrder>10</b:RefOrder>
  </b:Source>
  <b:Source>
    <b:Tag>AloBS</b:Tag>
    <b:SourceType>ArticleInAPeriodical</b:SourceType>
    <b:Guid>{EECDE125-D478-4096-A031-66AD42D3CE4B}</b:Guid>
    <b:Title>Alochona (Discussion):  ‘Swaraj Sadhana’</b:Title>
    <b:Year>1334 BS</b:Year>
    <b:PeriodicalTitle>Masik Mohammadi</b:PeriodicalTitle>
    <b:Month>Paush</b:Month>
    <b:RefOrder>11</b:RefOrder>
  </b:Source>
  <b:Source>
    <b:Tag>Mor66</b:Tag>
    <b:SourceType>Book</b:SourceType>
    <b:Guid>{F4C507D7-6A22-4C5E-9D44-3F3077E47185}</b:Guid>
    <b:Author>
      <b:Author>
        <b:NameList>
          <b:Person>
            <b:Last>Morris</b:Last>
            <b:First>James</b:First>
            <b:Middle>O. (James Oliver)</b:Middle>
          </b:Person>
        </b:NameList>
      </b:Author>
    </b:Author>
    <b:Title>Elites, intellectuals, and consensus; a study of the social question and the industrial relations system in Chile (1923-1985)</b:Title>
    <b:Year> (1966).</b:Year>
    <b:City>Ithaca: New York State School of Industrial and Labor Relations</b:City>
    <b:Publisher>Cornell University</b:Publisher>
    <b:RefOrder>12</b:RefOrder>
  </b:Source>
  <b:Source>
    <b:Tag>Mil56</b:Tag>
    <b:SourceType>Book</b:SourceType>
    <b:Guid>{44F0900B-A990-47F2-969D-82DAC1AE7E80}</b:Guid>
    <b:Author>
      <b:Author>
        <b:NameList>
          <b:Person>
            <b:Last>Mills</b:Last>
            <b:First>C.</b:First>
            <b:Middle>Wright (Charles Wright)</b:Middle>
          </b:Person>
        </b:NameList>
      </b:Author>
    </b:Author>
    <b:Title>The power elite 1916-1962</b:Title>
    <b:Year>1956</b:Year>
    <b:City>New York</b:City>
    <b:Publisher>Oxford University Press</b:Publisher>
    <b:RefOrder>13</b:RefOrder>
  </b:Source>
  <b:Source>
    <b:Tag>Bha14</b:Tag>
    <b:SourceType>Book</b:SourceType>
    <b:Guid>{2B8DE7A3-99FD-4192-B052-630352947F1B}</b:Guid>
    <b:Author>
      <b:Author>
        <b:NameList>
          <b:Person>
            <b:Last>Bhattacharya</b:Last>
            <b:First>S.</b:First>
          </b:Person>
        </b:NameList>
      </b:Author>
    </b:Author>
    <b:Title>The defining moments in Bengal, 1920-1947</b:Title>
    <b:Year>2014</b:Year>
    <b:Publisher>Oxford University Press</b:Publisher>
    <b:Edition>1st ed.</b:Edition>
    <b:RefOrder>14</b:RefOrder>
  </b:Source>
  <b:Source xmlns:b="http://schemas.openxmlformats.org/officeDocument/2006/bibliography">
    <b:Tag>Mur95</b:Tag>
    <b:SourceType>Book</b:SourceType>
    <b:Guid>{463F3A5A-C32F-421F-A251-CA2300C94B3A}</b:Guid>
    <b:Author>
      <b:Author>
        <b:NameList>
          <b:Person>
            <b:Last>Murshid</b:Last>
            <b:First>Tazeen</b:First>
            <b:Middle>M.</b:Middle>
          </b:Person>
        </b:NameList>
      </b:Author>
    </b:Author>
    <b:Title>The Sacred and the Secular: Bengal Muslim Discourses, 1871–1977</b:Title>
    <b:Year>1995</b:Year>
    <b:City>Calcutta</b:City>
    <b:Publisher>Oxford University Press</b:Publisher>
    <b:Edition>xvi</b:Edition>
    <b:RefOrder>15</b:RefOrder>
  </b:Source>
  <b:Source>
    <b:Tag>IslBS</b:Tag>
    <b:SourceType>ArticleInAPeriodical</b:SourceType>
    <b:Guid>{34EE9486-B9AD-4EBA-AB59-F27EEC3CC695}</b:Guid>
    <b:Title> Bengali Muslim Public Opinion,</b:Title>
    <b:PeriodicalTitle>Islam Pracharak</b:PeriodicalTitle>
    <b:Year>1310 BS</b:Year>
    <b:Month>Shraban-Bhadra</b:Month>
    <b:Pages>44.</b:Pages>
    <b:Author>
      <b:Author>
        <b:NameList>
          <b:Person>
            <b:Last>Islam</b:Last>
            <b:First>M.</b:First>
            <b:Middle>N.</b:Middle>
          </b:Person>
        </b:NameList>
      </b:Author>
    </b:Author>
    <b:City>Kolkata</b:City>
    <b:RefOrder>16</b:RefOrder>
  </b:Source>
  <b:Source>
    <b:Tag>Sea71</b:Tag>
    <b:SourceType>Book</b:SourceType>
    <b:Guid>{DB7BCDC0-07D5-456C-9ACE-10322C052AD5}</b:Guid>
    <b:Author>
      <b:Author>
        <b:NameList>
          <b:Person>
            <b:Last>Seal</b:Last>
            <b:First>Anil.</b:First>
          </b:Person>
        </b:NameList>
      </b:Author>
    </b:Author>
    <b:Title>The Emergence of Indian Nationalism</b:Title>
    <b:Year>1971</b:Year>
    <b:Publisher>Cambridge</b:Publisher>
    <b:Edition>paperback ed.</b:Edition>
    <b:Volume>Report of the Committee of the C.N.M.A. for 1885–88</b:Volume>
    <b:RefOrder>17</b:RefOrder>
  </b:Source>
  <b:Source>
    <b:Tag>Isl73</b:Tag>
    <b:SourceType>ArticleInAPeriodical</b:SourceType>
    <b:Guid>{DF80ED59-2ED2-4981-B687-36F06DCBC9FE}</b:Guid>
    <b:Year>1973</b:Year>
    <b:City>Dacca</b:City>
    <b:Author>
      <b:Author>
        <b:NameList>
          <b:Person>
            <b:Last>Islam</b:Last>
            <b:First>M.</b:First>
            <b:Middle>N</b:Middle>
          </b:Person>
        </b:NameList>
      </b:Author>
    </b:Author>
    <b:PeriodicalTitle>Bengali Muslim Public Opinion</b:PeriodicalTitle>
    <b:Issue>February 1987</b:Issue>
    <b:ShortTitle>Hafez</b:ShortTitle>
    <b:RefOrder>18</b:RefOrder>
  </b:Source>
  <b:Source>
    <b:Tag>Ahm97</b:Tag>
    <b:SourceType>ArticleInAPeriodical</b:SourceType>
    <b:Guid>{58AE0EBD-C841-4584-A4DC-6EC98D4BB379}</b:Guid>
    <b:Author>
      <b:Author>
        <b:NameList>
          <b:Person>
            <b:Last>Ahmed</b:Last>
            <b:First>Sufia</b:First>
          </b:Person>
        </b:NameList>
      </b:Author>
    </b:Author>
    <b:PeriodicalTitle>Hafez</b:PeriodicalTitle>
    <b:Year>1897</b:Year>
    <b:Month>Febuarary</b:Month>
    <b:RefOrder>19</b:RefOrder>
  </b:Source>
  <b:Source>
    <b:Tag>Job06</b:Tag>
    <b:SourceType>Book</b:SourceType>
    <b:Guid>{2DA7434B-F3EB-447B-AB0E-6E951B5FF37D}</b:Guid>
    <b:Author>
      <b:Author>
        <b:NameList>
          <b:Person>
            <b:Last>Jobbar</b:Last>
            <b:First>A.</b:First>
          </b:Person>
        </b:NameList>
      </b:Author>
    </b:Author>
    <b:Title>Islam Dharma Parichaya</b:Title>
    <b:Year>1906</b:Year>
    <b:City>Calcutta </b:City>
    <b:RefOrder>20</b:RefOrder>
  </b:Source>
  <b:Source>
    <b:Tag>Bro68</b:Tag>
    <b:SourceType>Book</b:SourceType>
    <b:Guid>{BFB6FBCE-3609-4B32-BEC5-1F2821FEE2CE}</b:Guid>
    <b:Author>
      <b:Author>
        <b:NameList>
          <b:Person>
            <b:Last>Broomfield</b:Last>
            <b:First>J.</b:First>
            <b:Middle>H.</b:Middle>
          </b:Person>
        </b:NameList>
      </b:Author>
    </b:Author>
    <b:Title> Elite conflict in a plural society: twentieth-century Bengal.</b:Title>
    <b:Year>1968</b:Year>
    <b:Publisher> University of California Press.</b:Publisher>
    <b:RefOrder>21</b:RefOrder>
  </b:Source>
  <b:Source>
    <b:Tag>Sea68</b:Tag>
    <b:SourceType>Book</b:SourceType>
    <b:Guid>{001EED6B-935F-49BC-87C7-C37F165914A2}</b:Guid>
    <b:Author>
      <b:Author>
        <b:NameList>
          <b:Person>
            <b:Last>Seal</b:Last>
            <b:First>A.</b:First>
          </b:Person>
        </b:NameList>
      </b:Author>
    </b:Author>
    <b:Title>The Emergence of Indian Nationalism: Competition and Collaboration in the Later Nineteenth Century</b:Title>
    <b:Year>1968</b:Year>
    <b:City>Cambridge</b:City>
    <b:Publisher>Cambridge University Press</b:Publisher>
    <b:Pages>2 &amp; 3 chs.</b:Pages>
    <b:RefOrder>22</b:RefOrder>
  </b:Source>
  <b:Source>
    <b:Tag>Gor78</b:Tag>
    <b:SourceType>JournalArticle</b:SourceType>
    <b:Guid>{10B06C55-432C-4ED2-ABA1-61FBE613909D}</b:Guid>
    <b:Title>Divided Bengal: Problems of nationalism and identity in the 1947 partition</b:Title>
    <b:Year>1978</b:Year>
    <b:Author>
      <b:Author>
        <b:NameList>
          <b:Person>
            <b:Last>Gordon</b:Last>
            <b:First>L.</b:First>
            <b:Middle>A.</b:Middle>
          </b:Person>
        </b:NameList>
      </b:Author>
      <b:Editor>
        <b:NameList>
          <b:Person>
            <b:Last>16(2)</b:Last>
          </b:Person>
        </b:NameList>
      </b:Editor>
    </b:Author>
    <b:JournalName>The Journal of Commonwealth &amp; Comparative Politics</b:JournalName>
    <b:Pages>136–168.</b:Pages>
    <b:URL>https://doi.org/10.1080/14662047808447306</b:URL>
    <b:RefOrder>23</b:RefOrder>
  </b:Source>
  <b:Source>
    <b:Tag>JahBS</b:Tag>
    <b:SourceType>BookSection</b:SourceType>
    <b:Guid>{EAFB691A-AFEB-489D-9F31-B9FBD0F029E0}</b:Guid>
    <b:Title>Syed Ameer Ali - Political Role</b:Title>
    <b:Year>Kartik 1312 BS</b:Year>
    <b:Author>
      <b:Author>
        <b:NameList>
          <b:Person>
            <b:Last>Jahan</b:Last>
            <b:First>S.</b:First>
            <b:Middle>M. M.</b:Middle>
          </b:Person>
        </b:NameList>
      </b:Author>
      <b:BookAuthor>
        <b:NameList>
          <b:Person>
            <b:Last>Ullah</b:Last>
            <b:First>Mohammad</b:First>
            <b:Middle>Hedayet</b:Middle>
          </b:Person>
        </b:NameList>
      </b:BookAuthor>
    </b:Author>
    <b:BookTitle>Musliman Sarbanash based on Syed Ameer Ali’s English essay Navnur</b:BookTitle>
    <b:ChapterNumber> quoted, Muslim Bengal Periodical, Preface</b:ChapterNumber>
    <b:RefOrder>24</b:RefOrder>
  </b:Source>
  <b:Source>
    <b:Tag>Kas40</b:Tag>
    <b:SourceType>Book</b:SourceType>
    <b:Guid>{EBAEFFF0-FABD-41E8-9488-03CBF9BACF70}</b:Guid>
    <b:Author>
      <b:Author>
        <b:NameList>
          <b:Person>
            <b:Last>Kasim</b:Last>
            <b:First>A.</b:First>
          </b:Person>
        </b:NameList>
      </b:Author>
    </b:Author>
    <b:Title>Banglar Pratibha</b:Title>
    <b:Year>1940</b:Year>
    <b:Pages>34–48, 60</b:Pages>
    <b:City>Calcutta</b:City>
    <b:RefOrder>25</b:RefOrder>
  </b:Source>
  <b:Source>
    <b:Tag>Abu74</b:Tag>
    <b:SourceType>Book</b:SourceType>
    <b:Guid>{8AFAF703-DBFC-4447-AC90-7621C9523BC3}</b:Guid>
    <b:Author>
      <b:Author>
        <b:NameList>
          <b:Person>
            <b:Last>Hashim.</b:Last>
            <b:First>Abul</b:First>
          </b:Person>
        </b:NameList>
      </b:Author>
    </b:Author>
    <b:Title> In retrospection</b:Title>
    <b:Year>1974</b:Year>
    <b:City>Dacca</b:City>
    <b:Publisher> Subarna, Mowla Bros.</b:Publisher>
    <b:RefOrder>26</b:RefOrder>
  </b:Source>
  <b:Source>
    <b:Tag>Muk09</b:Tag>
    <b:SourceType>Book</b:SourceType>
    <b:Guid>{E7D86232-F777-4903-B624-624697DF2DFB}</b:Guid>
    <b:Author>
      <b:Author>
        <b:NameList>
          <b:Person>
            <b:Last>A</b:Last>
            <b:First>Mukhopadhyay.</b:First>
          </b:Person>
        </b:NameList>
      </b:Author>
    </b:Author>
    <b:Title>In the Voice of Cassandra: Tagore on Hindus and Muslims in India and their Relations. In: Politics, Society and Colonialism: An Alternative Understanding of Tagore’s Responses</b:Title>
    <b:Year>2009</b:Year>
    <b:Publisher>Foundation Books</b:Publisher>
    <b:RefOrder>27</b:RefOrder>
  </b:Source>
  <b:Source>
    <b:Tag>49295</b:Tag>
    <b:SourceType>Book</b:SourceType>
    <b:Guid>{DEC4E8DA-1DCC-4990-BD26-B07EA5DBE61E}</b:Guid>
    <b:Author>
      <b:Author>
        <b:NameList>
          <b:Person>
            <b:Last>492</b:Last>
            <b:First>Tazeen</b:First>
            <b:Middle>M. Murshid.</b:Middle>
          </b:Person>
        </b:NameList>
      </b:Author>
    </b:Author>
    <b:Title>The Sacred and the Secular: Bengal Muslim Discourses, 1871–1977</b:Title>
    <b:Year>1995</b:Year>
    <b:City>Calcutta</b:City>
    <b:Publisher>Oxford University Press</b:Publisher>
    <b:NumberVolumes>xvi</b:NumberVolumes>
    <b:RefOrder>28</b:RefOrder>
  </b:Source>
</b:Sources>
</file>

<file path=customXml/itemProps1.xml><?xml version="1.0" encoding="utf-8"?>
<ds:datastoreItem xmlns:ds="http://schemas.openxmlformats.org/officeDocument/2006/customXml" ds:itemID="{A4A25609-10EC-4F7D-9080-B3BF1A4B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6635</Words>
  <Characters>36034</Characters>
  <Application>Microsoft Office Word</Application>
  <DocSecurity>0</DocSecurity>
  <Lines>522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NIRANJAN ADHIKARY</dc:creator>
  <cp:keywords/>
  <dc:description/>
  <cp:lastModifiedBy>NIRANJAN ADHIKARY</cp:lastModifiedBy>
  <cp:revision>4</cp:revision>
  <cp:lastPrinted>2025-09-19T18:27:00Z</cp:lastPrinted>
  <dcterms:created xsi:type="dcterms:W3CDTF">2025-09-30T07:23:00Z</dcterms:created>
  <dcterms:modified xsi:type="dcterms:W3CDTF">2025-10-01T15:27:00Z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abfb0b9b-cd81-460b-90f3-de0ce0720886</vt:lpwstr>
  </property>
</Properties>
</file>